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83"/>
        <w:ind w:firstLine="567"/>
        <w:jc w:val="center"/>
        <w:widowControl w:val="of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Сублицензионный</w:t>
      </w:r>
      <w:r>
        <w:rPr>
          <w:rFonts w:ascii="Times New Roman" w:hAnsi="Times New Roman"/>
          <w:b/>
          <w:sz w:val="24"/>
          <w:szCs w:val="24"/>
        </w:rPr>
        <w:t xml:space="preserve"> договор №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1083"/>
        <w:ind w:firstLine="567"/>
        <w:jc w:val="center"/>
        <w:widowControl w:val="of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1083"/>
        <w:ind w:firstLine="567"/>
        <w:jc w:val="center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3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«</w:t>
      </w:r>
      <w:r>
        <w:rPr>
          <w:rFonts w:ascii="Times New Roman" w:hAnsi="Times New Roman" w:cs="Times New Roman"/>
          <w:sz w:val="24"/>
          <w:szCs w:val="24"/>
        </w:rPr>
        <w:t xml:space="preserve">___» ______ 2025 года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3"/>
        <w:ind w:firstLine="567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3"/>
        <w:ind w:firstLine="567"/>
        <w:jc w:val="both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Общество с ограниченной ответственностью «Интер РАО - Инжиниринг» (ООО «Интер РАО - Инжиниринг»)</w:t>
      </w:r>
      <w:r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Сублицензиат</w:t>
      </w:r>
      <w:r>
        <w:rPr>
          <w:rFonts w:ascii="Times New Roman" w:hAnsi="Times New Roman" w:cs="Times New Roman"/>
          <w:sz w:val="24"/>
          <w:szCs w:val="24"/>
        </w:rPr>
        <w:t xml:space="preserve">, в лице </w:t>
      </w:r>
      <w:bookmarkStart w:id="0" w:name="_Hlk117780388"/>
      <w:r/>
      <w:bookmarkEnd w:id="0"/>
      <w:r>
        <w:rPr>
          <w:rFonts w:ascii="Times New Roman" w:hAnsi="Times New Roman" w:cs="Times New Roman"/>
          <w:sz w:val="24"/>
          <w:szCs w:val="24"/>
        </w:rPr>
        <w:t xml:space="preserve">_____________________________, действующего на основании  __________________________, с одной стороны, и </w:t>
      </w:r>
      <w:bookmarkStart w:id="1" w:name="_Hlk115100369"/>
      <w:r/>
      <w:bookmarkStart w:id="2" w:name="_Hlk117671090"/>
      <w:r>
        <w:rPr>
          <w:rFonts w:ascii="Times New Roman" w:hAnsi="Times New Roman" w:cs="Times New Roman"/>
          <w:sz w:val="24"/>
          <w:szCs w:val="24"/>
        </w:rPr>
        <w:t xml:space="preserve">  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 в лице 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____________________________, именуемое в дальнейшем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Лицензиат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bookmarkEnd w:id="1"/>
      <w:r/>
      <w:bookmarkEnd w:id="2"/>
      <w:r>
        <w:rPr>
          <w:rFonts w:ascii="Times New Roman" w:hAnsi="Times New Roman" w:cs="Times New Roman"/>
          <w:sz w:val="24"/>
          <w:szCs w:val="24"/>
        </w:rPr>
        <w:t xml:space="preserve">с другой стороны, совместно именуемые «Стороны», заключили настоящий договор (далее – Договор) о нижеследующем.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3"/>
        <w:ind w:firstLine="567"/>
        <w:jc w:val="both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3"/>
        <w:numPr>
          <w:ilvl w:val="0"/>
          <w:numId w:val="1"/>
        </w:numPr>
        <w:ind w:left="0" w:firstLine="567"/>
        <w:jc w:val="center"/>
        <w:widowControl w:val="off"/>
        <w:tabs>
          <w:tab w:val="left" w:pos="851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Предмет договора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083"/>
        <w:ind w:left="567"/>
        <w:widowControl w:val="off"/>
        <w:tabs>
          <w:tab w:val="left" w:pos="851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087"/>
        <w:numPr>
          <w:ilvl w:val="1"/>
          <w:numId w:val="1"/>
        </w:numPr>
        <w:ind w:left="0" w:firstLine="709"/>
        <w:jc w:val="both"/>
        <w:spacing w:after="0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/>
      <w:bookmarkStart w:id="3" w:name="_Hlk38039334"/>
      <w:r>
        <w:rPr>
          <w:sz w:val="24"/>
          <w:szCs w:val="24"/>
        </w:rPr>
        <w:t xml:space="preserve">Лицензиат обязуется предоставить Сублицензиату на условиях настоящего Договора право испо</w:t>
      </w:r>
      <w:r>
        <w:rPr>
          <w:sz w:val="24"/>
          <w:szCs w:val="24"/>
        </w:rPr>
        <w:t xml:space="preserve">льзования программного обеспечения, указанного в Спецификации (далее - ПО), приведенной в Приложении №1 к настоящему Договору, и являющейся неотъемлемой частью настоящего Договора, включая любые изображения, фотографии, анимированные изображения, аудио- и </w:t>
      </w:r>
      <w:r>
        <w:rPr>
          <w:sz w:val="24"/>
          <w:szCs w:val="24"/>
        </w:rPr>
        <w:t xml:space="preserve">видеокомпоненты</w:t>
      </w:r>
      <w:r>
        <w:rPr>
          <w:sz w:val="24"/>
          <w:szCs w:val="24"/>
        </w:rPr>
        <w:t xml:space="preserve">, музыку, текст и дополнительные программы, входящие в состав ПО, а также сопроводительные материалы и копии таких программ, исключительно способами, указанными в п. 1.2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7"/>
        <w:numPr>
          <w:ilvl w:val="1"/>
          <w:numId w:val="1"/>
        </w:numPr>
        <w:ind w:left="0" w:firstLine="709"/>
        <w:jc w:val="both"/>
        <w:spacing w:after="0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Право использования ПО, предусмотренного пунктом 1.1 настоящего Договора, включает в себя следующие способы использования Сублицензиатом: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7"/>
        <w:ind w:firstLine="709"/>
        <w:jc w:val="both"/>
        <w:spacing w:after="0"/>
        <w:widowControl w:val="off"/>
        <w:tabs>
          <w:tab w:val="num" w:pos="567" w:leader="none"/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воспроизведение, ограниченное инсталляцией в память ЭВМ и запуска в соответствии с условиями Договора;</w:t>
      </w:r>
      <w:r>
        <w:rPr>
          <w:sz w:val="24"/>
          <w:szCs w:val="24"/>
        </w:rPr>
        <w:t xml:space="preserve"> создание копии лицензионного ПО при условии, что эта копия предназначена только для архивных целей или для замены правомерно приобретенного экземпляра в случаях, когда такой экземпляр утерян, уничтожен или стал непригоден для использования.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Инсталляция и запуск Программного обеспечения допускаются на одной аппаратной платформе.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Использование Программного обеспечения допускается только для собственных нужд Сублицензиата.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Сублицензиат не вправе модифицировать, </w:t>
      </w:r>
      <w:r>
        <w:rPr>
          <w:sz w:val="24"/>
          <w:szCs w:val="24"/>
        </w:rPr>
        <w:t xml:space="preserve">декомпилировать</w:t>
      </w:r>
      <w:r>
        <w:rPr>
          <w:sz w:val="24"/>
          <w:szCs w:val="24"/>
        </w:rPr>
        <w:t xml:space="preserve">, адаптировать, вносить изменения в исходный код, а также восстанавливать исходный код Программного обеспечения, за исключением случаев, установленных законодательством РФ.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Сублицензиат не имеет права сдавать в аренду, продавать, передавать третьим лицам, тиражировать Программное обеспечение с целью получения коммерческой выгоды.</w:t>
      </w:r>
      <w:bookmarkEnd w:id="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7"/>
        <w:numPr>
          <w:ilvl w:val="1"/>
          <w:numId w:val="1"/>
        </w:numPr>
        <w:ind w:left="0" w:firstLine="709"/>
        <w:jc w:val="both"/>
        <w:spacing w:after="0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Наст</w:t>
      </w:r>
      <w:r>
        <w:rPr>
          <w:sz w:val="24"/>
          <w:szCs w:val="24"/>
        </w:rPr>
        <w:t xml:space="preserve">оящий Договор предусматривает предоставление Сублицензиату права использования ПО с сохранением за Лицензиатом права выдачи лицензий другим лицам (простая (неисключительная) лицензия). Условия Договора не предусматривают передачи исключительных прав на ПО.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7"/>
        <w:numPr>
          <w:ilvl w:val="1"/>
          <w:numId w:val="1"/>
        </w:numPr>
        <w:ind w:left="0" w:firstLine="709"/>
        <w:jc w:val="both"/>
        <w:spacing w:after="0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Право использования ПО, указанное в пункте 1.1 Договора, предоставляется на всей территории Российской Федерации.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7"/>
        <w:numPr>
          <w:ilvl w:val="1"/>
          <w:numId w:val="1"/>
        </w:numPr>
        <w:ind w:left="0" w:firstLine="709"/>
        <w:jc w:val="both"/>
        <w:spacing w:after="0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Сроки действия права на использование ПО указаны в Спецификации (Приложение № 1 к Договору).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7"/>
        <w:numPr>
          <w:ilvl w:val="1"/>
          <w:numId w:val="1"/>
        </w:numPr>
        <w:ind w:left="0" w:firstLine="709"/>
        <w:jc w:val="both"/>
        <w:spacing w:after="0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Лицензиат подтверждает, что на момент предоставления (передачи) Сублицензиату права использования ПО оно не заложено, не арестовано, не является предметом исков или притязаний третьих лиц.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7"/>
        <w:numPr>
          <w:ilvl w:val="1"/>
          <w:numId w:val="1"/>
        </w:numPr>
        <w:ind w:left="0" w:firstLine="709"/>
        <w:jc w:val="both"/>
        <w:spacing w:after="0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Лицензиат гарантирует действительность всех предоставляемых Сублицензиату </w:t>
      </w:r>
      <w:r>
        <w:rPr>
          <w:sz w:val="24"/>
          <w:szCs w:val="24"/>
        </w:rPr>
        <w:t xml:space="preserve">прав испол</w:t>
      </w:r>
      <w:r>
        <w:rPr>
          <w:sz w:val="24"/>
          <w:szCs w:val="24"/>
        </w:rPr>
        <w:t xml:space="preserve">ьзования ПО в течение всего срока, на который права использования ПО предоставляются Сублицензиату по настоящему Договору, а также гарантирует, что в результате заключения и исполнения настоящего Договора не нарушены и не будут нарушены права третьих лиц. </w:t>
      </w:r>
      <w:bookmarkStart w:id="4" w:name="_Hlk116986885"/>
      <w:r>
        <w:rPr>
          <w:sz w:val="24"/>
          <w:szCs w:val="24"/>
        </w:rPr>
        <w:t xml:space="preserve">Лицензиат гарантирует, что имеет все необходимые права на лицензирование и распространение ПО (в том числе любых включенных в него графических изображений, фотографий, текстов, анимированных изображений, аудио- и </w:t>
      </w:r>
      <w:r>
        <w:rPr>
          <w:sz w:val="24"/>
          <w:szCs w:val="24"/>
        </w:rPr>
        <w:t xml:space="preserve">видеокомпонентов</w:t>
      </w:r>
      <w:r>
        <w:rPr>
          <w:sz w:val="24"/>
          <w:szCs w:val="24"/>
        </w:rPr>
        <w:t xml:space="preserve">, музыки и дополнительных программ), а также сопровождающих программы печатных материалов и всех копий ПО. </w:t>
      </w:r>
      <w:bookmarkEnd w:id="4"/>
      <w:r>
        <w:rPr>
          <w:sz w:val="24"/>
          <w:szCs w:val="24"/>
        </w:rPr>
        <w:t xml:space="preserve">Необходимые для исполнения настоящего Договора права на ПО принадлежат Лицензиату на основании ___________________________________</w:t>
      </w:r>
      <w:r>
        <w:rPr>
          <w:sz w:val="24"/>
          <w:szCs w:val="24"/>
        </w:rPr>
        <w:t xml:space="preserve">, Лицензиат гарантирует действительность указанного в настоящем пункте Лицензионного договора на момент заключения и в течение всего срока действия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7"/>
        <w:numPr>
          <w:ilvl w:val="1"/>
          <w:numId w:val="1"/>
        </w:numPr>
        <w:ind w:left="0" w:firstLine="709"/>
        <w:jc w:val="both"/>
        <w:spacing w:after="0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Лицензиат гарантирует, что обладает в необходимом объеме правами на выполнение обязательств, указанных в пункте 1.1 настоящего Договора. Лицензиат обязуется по запросу представить Сублицензиату документальное подтверждение наличия у него в необходимом объ</w:t>
      </w:r>
      <w:r>
        <w:rPr>
          <w:sz w:val="24"/>
          <w:szCs w:val="24"/>
        </w:rPr>
        <w:t xml:space="preserve">еме прав на выполнение обязательств, указанных в пункте 1.1 настоящего Договора. В случае недействительности представленного Лицензиатом документального подтверждения в соответствии с настоящим пунктом Договора, о котором Сублицензиату стало известно после</w:t>
      </w:r>
      <w:r>
        <w:rPr>
          <w:sz w:val="24"/>
          <w:szCs w:val="24"/>
        </w:rPr>
        <w:t xml:space="preserve"> заключения настоящего Договора, Сублицензиат вправе в одностороннем внесудебном порядке отказаться от исполнения настоящего Договора, направив Лицензиату соответствующее уведомление. В таком случае Лицензиат обязуется вернуть Сублицензиату сумму лицензион</w:t>
      </w:r>
      <w:r>
        <w:rPr>
          <w:sz w:val="24"/>
          <w:szCs w:val="24"/>
        </w:rPr>
        <w:t xml:space="preserve">ного вознаграждения, выплаченного Сублицензиатом по настоящему Договору, в течение 3 (трех) календарных дней с момента получения указанного уведомления Сублицензиата, а также убытки, понесенные последним в связи с отказом от исполнения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7"/>
        <w:numPr>
          <w:ilvl w:val="1"/>
          <w:numId w:val="1"/>
        </w:numPr>
        <w:ind w:left="0" w:firstLine="709"/>
        <w:jc w:val="both"/>
        <w:spacing w:after="0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силу пункта 7 статьи 1235 ГК РФ переход исключительного прав</w:t>
      </w:r>
      <w:r>
        <w:rPr>
          <w:sz w:val="24"/>
          <w:szCs w:val="24"/>
        </w:rPr>
        <w:t xml:space="preserve">а на ПО к другому правообладателю не является основанием для изменения или расторжения настоящего Договора. В случае если в связи с переходом исключительного права на ПО к другому правообладателю Сублицензиат не сможет использовать ПО, переданное Сублиценз</w:t>
      </w:r>
      <w:r>
        <w:rPr>
          <w:sz w:val="24"/>
          <w:szCs w:val="24"/>
        </w:rPr>
        <w:t xml:space="preserve">иату по настоящему Договору, то Лицензиат обязуется вернуть Сублицензиату уплаченную последним стоимость вознаграждения за приобретение прав использования ПО в течение 3 (трех) календарных дней с момента получения соответствующего требования Сублицензиата.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7"/>
        <w:ind w:firstLine="567"/>
        <w:jc w:val="both"/>
        <w:spacing w:after="0"/>
        <w:widowControl w:val="off"/>
        <w:tabs>
          <w:tab w:val="left" w:pos="993" w:leader="none"/>
          <w:tab w:val="num" w:pos="511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7"/>
        <w:numPr>
          <w:ilvl w:val="0"/>
          <w:numId w:val="1"/>
        </w:numPr>
        <w:ind w:left="0" w:firstLine="567"/>
        <w:jc w:val="center"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Права и обязанности 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87"/>
        <w:ind w:left="567"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Лицензиат обязуется: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передать Сублицензиату права использования ПО в соответствии с условиями настоящего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б) в течение срока действия настоящего Договора воздерживаться от каких-либо действий, способных затруднить осуществление Сублицензиатом предоставленного ему права использования ПО в установленных настоящим Договором пределах;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в) обеспечить неразглашение персональной информации о Сублицензиате, его работниках или партнерах, а также иной информации, ставшей известной Лицензиату в процессе исполнения или заключения настоящего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г) не осуществлять фото- и видеосъёмку на территории предприятий Группы «Интер РАО» без специального разрешения со стороны Сублицензиата;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д) не размещать фотографии любых документов или материалов (или сами документы и материалы), связанных с компаниями Группы «Интер РАО», в публичном пространстве, в </w:t>
      </w:r>
      <w:r>
        <w:rPr>
          <w:sz w:val="24"/>
          <w:szCs w:val="24"/>
        </w:rPr>
        <w:t xml:space="preserve">том числе в социальных медиа, без специального разрешения со стороны Сублицензиата;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е) не распространять ложную и/или наносящую вред репутации компаний Группы «Интер РАО» информацию в публичном пространстве, в том числе в социальных медиа;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ж) не публиковать в публично</w:t>
      </w:r>
      <w:r>
        <w:rPr>
          <w:sz w:val="24"/>
          <w:szCs w:val="24"/>
        </w:rPr>
        <w:t xml:space="preserve">м пространстве, в том числе в социальных медиа, контент, противоречащий морально-этическим нормам, содержащий дискриминацию по расовому, национальному, половому, возрастному, религиозному и иным признакам, оправдывающий или призывающий к насилию, убийству.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2.1.1</w:t>
      </w:r>
      <w:r>
        <w:rPr>
          <w:sz w:val="24"/>
          <w:szCs w:val="24"/>
        </w:rPr>
        <w:tab/>
        <w:t xml:space="preserve">Лицензиат</w:t>
      </w:r>
      <w:r>
        <w:rPr>
          <w:color w:val="000000"/>
          <w:sz w:val="24"/>
          <w:szCs w:val="24"/>
        </w:rPr>
        <w:t xml:space="preserve"> обязуется раскрыть Сублицензиату сведения о собственниках (номинальных владельцах) долей/акций/паев </w:t>
      </w:r>
      <w:r>
        <w:rPr>
          <w:sz w:val="24"/>
          <w:szCs w:val="24"/>
        </w:rPr>
        <w:t xml:space="preserve">Лицензиата</w:t>
      </w:r>
      <w:r>
        <w:rPr>
          <w:color w:val="000000"/>
          <w:sz w:val="24"/>
          <w:szCs w:val="24"/>
        </w:rPr>
        <w:t xml:space="preserve">, по форме, предусмотренной Приложением № 3 к настоящему Договору, с указанием бенефициаров (в том числе конечного выгодоприобретателя/бенефициара) и предоставлением подтверждающих документов на дату подписания настоящего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любых изменений сведений о собственниках (номинальных владельцах) долей/акций/паев </w:t>
      </w:r>
      <w:r>
        <w:rPr>
          <w:sz w:val="24"/>
          <w:szCs w:val="24"/>
        </w:rPr>
        <w:t xml:space="preserve">Лицензиата</w:t>
      </w:r>
      <w:r>
        <w:rPr>
          <w:color w:val="000000"/>
          <w:sz w:val="24"/>
          <w:szCs w:val="24"/>
        </w:rPr>
        <w:t xml:space="preserve">, включая бенефициаров (в том числе конечного выгодоприобретателя/бенефициара) </w:t>
      </w:r>
      <w:r>
        <w:rPr>
          <w:sz w:val="24"/>
          <w:szCs w:val="24"/>
        </w:rPr>
        <w:t xml:space="preserve">Лицензиат</w:t>
      </w:r>
      <w:r>
        <w:rPr>
          <w:color w:val="000000"/>
          <w:sz w:val="24"/>
          <w:szCs w:val="24"/>
        </w:rPr>
        <w:t xml:space="preserve"> обязуется в течение 5 (пяти) календарных дней с даты наступлени</w:t>
      </w:r>
      <w:r>
        <w:rPr>
          <w:color w:val="000000"/>
          <w:sz w:val="24"/>
          <w:szCs w:val="24"/>
        </w:rPr>
        <w:t xml:space="preserve">я таких изменений предоставить Сублицензиату актуализированные сведения. При раскрытии соответствующей информации Стороны обязуются производить обработку персональных данных в соответствии с Федеральным законом от 27.07.2006 №152-ФЗ «О персональных данных»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ind w:firstLine="567"/>
      </w:pPr>
      <w:r>
        <w:t xml:space="preserve">Положения настоящего пункта </w:t>
      </w:r>
      <w:r>
        <w:t xml:space="preserve">Стороны признают существенным условием Договора. В случае невыполнения или ненадлежащего выполнения Лицензиатом обязательств, предусмотренных настоящим пунктом Договора, Сублицензиат вправе в одностороннем внесудебном порядке расторгнуть настоящий Договор.</w:t>
      </w:r>
      <w:r/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Лицензиат вправе осуществлять защиту своих прав в порядке, предусмотренном законодательством Российской Федерации и настоящим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Сублицензиат обязуется: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принять право использования ПО, указанного в пункте 1.1 настоящего Договора в порядке и в сроки, установленные настоящим Договором;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б) использовать полученное право использования ПО в пределах, предусмотренных настоящим Договором и документацией, сопровождающей предоставление прав использования и устанавливающей правила использования ПО;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в) не осуществлять действий по обходу технических средств защиты, встроенных в ПО;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г) самостоятельно обеспечивать наличие необходимого для работы ПО оборудования и нести затраты на подготовку оборудования, необходимого для использования ПО;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д) произвести выплату лицензионного вознаграждения за право использования ПО в соответствии с условиями настоящего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Сублицензиат вправе: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</w:t>
      </w:r>
      <w:r>
        <w:rPr>
          <w:sz w:val="24"/>
          <w:szCs w:val="24"/>
        </w:rPr>
        <w:t xml:space="preserve"> отказаться от исполнения настоящего Договора в одностороннем внесудебном порядке (путем направления Лицензиату соответствующего уведомления), если Лицензиат нарушит срок предоставления Сублицензиату права использования ПО на 5 (пять) и более рабочих дней;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б) </w:t>
      </w:r>
      <w:r>
        <w:rPr>
          <w:color w:val="000000"/>
          <w:sz w:val="24"/>
          <w:szCs w:val="24"/>
          <w:shd w:val="clear" w:color="auto" w:fill="ffffff"/>
        </w:rPr>
        <w:t xml:space="preserve">осуществля</w:t>
      </w:r>
      <w:r>
        <w:rPr>
          <w:color w:val="000000"/>
          <w:sz w:val="24"/>
          <w:szCs w:val="24"/>
          <w:shd w:val="clear" w:color="auto" w:fill="ffffff"/>
        </w:rPr>
        <w:t xml:space="preserve">ть действия, необходимые для функционирования входящих в ПО программ для ЭВМ (в том числе в ходе использования в соответствии с их назначением), включая запись и хранение в памяти ЭВМ (одной ЭВМ или одного пользователя сети), внесение в программу для ЭВМ и</w:t>
      </w:r>
      <w:r>
        <w:rPr>
          <w:color w:val="000000"/>
          <w:sz w:val="24"/>
          <w:szCs w:val="24"/>
          <w:shd w:val="clear" w:color="auto" w:fill="ffffff"/>
        </w:rPr>
        <w:t xml:space="preserve">зменений исключительно в целях их функционирования на технических средствах пользователя, исправление явных ошибок, если иное не предусмотрено договором с правообладателем. При этом Сублицензиат обязан соблюдать требования, предусмотренные ст. 1280 ГК РФ.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несут иные права и обязанности, установленные настоящим Договором и законодательством Российской Федерации.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20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Сублицензиат не обязан представлять Лицензиату отчеты об использовании </w:t>
      </w:r>
      <w:r>
        <w:rPr>
          <w:sz w:val="24"/>
          <w:szCs w:val="24"/>
        </w:rPr>
        <w:t xml:space="preserve">ПО, указанного в пункте 1.1.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7"/>
        <w:numPr>
          <w:ilvl w:val="0"/>
          <w:numId w:val="1"/>
        </w:numPr>
        <w:ind w:left="0" w:firstLine="567"/>
        <w:jc w:val="center"/>
        <w:keepNext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договора и порядок расчетов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51" w:firstLine="709"/>
        <w:jc w:val="center"/>
        <w:keepNext/>
        <w:widowControl w:val="off"/>
        <w:tabs>
          <w:tab w:val="left" w:pos="127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Сублицензиат уплачивает Лицензиату общую стоимость настоящего Договора в размере ______________________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(___________________________________) рубля 00 копеек, НДС не облагается на основании пп.26 п.</w:t>
      </w:r>
      <w:r>
        <w:rPr>
          <w:sz w:val="24"/>
          <w:szCs w:val="24"/>
        </w:rPr>
        <w:t xml:space="preserve">2.ст.</w:t>
      </w:r>
      <w:r>
        <w:rPr>
          <w:sz w:val="24"/>
          <w:szCs w:val="24"/>
        </w:rPr>
        <w:t xml:space="preserve">149 части II Налогового Кодекса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Оплата по настоящему Договору производится в форме безналичного расчета путем перечисления денежных средств на расчетный счет Лицензиата, указанный в разделе 16 настоящего Договора, в течение 7 (семи) календарных дней с даты подписания Сублицензиатом </w:t>
      </w:r>
      <w:r>
        <w:rPr>
          <w:sz w:val="24"/>
          <w:szCs w:val="24"/>
        </w:rPr>
        <w:t xml:space="preserve">универсального передаточного документа ( дал</w:t>
      </w:r>
      <w:r>
        <w:rPr>
          <w:sz w:val="24"/>
          <w:szCs w:val="24"/>
        </w:rPr>
        <w:t xml:space="preserve">ее – </w:t>
      </w:r>
      <w:r>
        <w:rPr>
          <w:sz w:val="24"/>
          <w:szCs w:val="24"/>
        </w:rPr>
        <w:t xml:space="preserve">УПД</w:t>
      </w:r>
      <w:r>
        <w:rPr>
          <w:sz w:val="24"/>
          <w:szCs w:val="24"/>
        </w:rPr>
        <w:t xml:space="preserve">) составленному по форме в соответствие с действующим зак</w:t>
      </w:r>
      <w:r>
        <w:rPr>
          <w:sz w:val="24"/>
          <w:szCs w:val="24"/>
        </w:rPr>
        <w:t xml:space="preserve">онодательством Российской Федерации</w:t>
      </w:r>
      <w:bookmarkStart w:id="10" w:name="_GoBack"/>
      <w:r/>
      <w:bookmarkEnd w:id="10"/>
      <w:r>
        <w:rPr>
          <w:sz w:val="24"/>
          <w:szCs w:val="24"/>
        </w:rPr>
        <w:t xml:space="preserve">, на основании выставленного Лицензиатом счета.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Днем осуществления платежа считается дата списания денежных средств с корреспондентского счета банка, обслуживающего Сублицензиата.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7"/>
        <w:numPr>
          <w:ilvl w:val="0"/>
          <w:numId w:val="1"/>
        </w:numPr>
        <w:ind w:left="0" w:firstLine="567"/>
        <w:jc w:val="center"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приема-передачи права использования ПО и расчетов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87"/>
        <w:ind w:left="567"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Лицензиат обязан предоставить Сублицензиату права использования ПО в дату подписания УПД прав использования ПО.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Права использования ПО предоставляются </w:t>
      </w:r>
      <w:bookmarkStart w:id="11" w:name="_Hlk76542536"/>
      <w:r>
        <w:rPr>
          <w:sz w:val="24"/>
          <w:szCs w:val="24"/>
        </w:rPr>
        <w:t xml:space="preserve">Лицензиатом</w:t>
      </w:r>
      <w:bookmarkEnd w:id="11"/>
      <w:r>
        <w:rPr>
          <w:sz w:val="24"/>
          <w:szCs w:val="24"/>
        </w:rPr>
        <w:t xml:space="preserve"> Сублицензиату одновременно с передачей ПО в электронном виде. Права использования ПО считаются предоставленными Сублицензиату с момента подписания Сторонами соответствующего УПД прав использования ПО.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целях надлежащего оформления исполнения настоящего Договора Стороны договорились о применении формы УПД, согласованной Сторонами в Приложении № 2 к настоящему Договору (далее – УПД прав использовани</w:t>
      </w:r>
      <w:r>
        <w:rPr>
          <w:sz w:val="24"/>
          <w:szCs w:val="24"/>
        </w:rPr>
        <w:t xml:space="preserve">я ПО). Лицензиат подтверждает, что данная форма УПД утверждена руководителем Лицензиата. УПД на право использования ПО должен содержать необходимые реквизиты, установленные Федеральным законом от 06.12.2011 № 402-ФЗ «О бухгалтерском учете», в т.ч. наименов</w:t>
      </w:r>
      <w:r>
        <w:rPr>
          <w:sz w:val="24"/>
          <w:szCs w:val="24"/>
        </w:rPr>
        <w:t xml:space="preserve">ание документа; дата составления документа; наименование экономического субъекта, составившего документ;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</w:t>
      </w:r>
      <w:r>
        <w:rPr>
          <w:sz w:val="24"/>
          <w:szCs w:val="24"/>
        </w:rPr>
        <w:t xml:space="preserve">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Проверка наименования, комплектации, иных данных, касающихся предоставляемых прав использования ПО, осуществляется Сублицензиатом не позднее 3 (трех) кал</w:t>
      </w:r>
      <w:r>
        <w:rPr>
          <w:sz w:val="24"/>
          <w:szCs w:val="24"/>
        </w:rPr>
        <w:t xml:space="preserve">ендарных дней с момента предоставления ПО, указанного в пункте 1.1 настоящего Договора, и двух экземпляров УПД, подписанных Лицензиатом. В случае выявления каких-либо несоответствий Сублицензиат направляет Лицензиату мотивированный отказ от подписания УПД.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Оригиналы документов, подтверждающих факт предоставления прав использования ПО (подписанные Лицензиатом УПД), должны быть направлены Сублицензиату одновременно с предоставлением прав использования ПО.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Документы, подтверждающие факт предоставления прав использования ПО</w:t>
      </w:r>
      <w:r>
        <w:rPr>
          <w:sz w:val="24"/>
          <w:szCs w:val="24"/>
        </w:rPr>
        <w:t xml:space="preserve">, должны быть оформлены на имя Сублицензиата. В случае непредставления необходимых документов Сублицензиат уведомляет об этом Лицензиата. Лицензиат обязан в течение 2 (двух) календарных дней с момента получения данного уведомления Сублицензиата, но не позд</w:t>
      </w:r>
      <w:r>
        <w:rPr>
          <w:sz w:val="24"/>
          <w:szCs w:val="24"/>
        </w:rPr>
        <w:t xml:space="preserve">нее 7-го числа месяца, следующего за месяцем, в котором были предоставлены права использования ПО, представить недостающие документы Сублицензиату, что не освобождает Лицензиата от ответственности, предусмотренной пунктом 8.8 настоящего Договора. В случае </w:t>
      </w:r>
      <w:r>
        <w:rPr>
          <w:sz w:val="24"/>
          <w:szCs w:val="24"/>
        </w:rPr>
        <w:t xml:space="preserve">наличия ошибок и иных неточностей в указанных документах Сублицензиат уведомляет об этом Лицензиата в течение 2 (двух) календарных дней с даты получения от</w:t>
      </w:r>
      <w:r>
        <w:rPr>
          <w:sz w:val="24"/>
          <w:szCs w:val="24"/>
        </w:rPr>
        <w:t xml:space="preserve"> Лицензиата документов, подтверждающих факт предоставления прав использования ПО. В таком уведомлении Сублицензиат должен указать способ устранения ошибок и иных неточностей в указанных документах. Лицензиат обязан в течение 2 (двух) календарных дней с мом</w:t>
      </w:r>
      <w:r>
        <w:rPr>
          <w:sz w:val="24"/>
          <w:szCs w:val="24"/>
        </w:rPr>
        <w:t xml:space="preserve">ента получения данного уведомления от Сублицензиата устранить ошибки и иные неточности в таких документах и представить исправленные документы Сублицензиату, что не освобождает Лицензиата от ответственности, предусмотренной пунктом 8.8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Лицензиат не позднее 5 числа месяца, следующего за отчетным кварталом, направляет в адрес Сублицензиата, оформленный со своей</w:t>
      </w:r>
      <w:r>
        <w:rPr>
          <w:sz w:val="24"/>
          <w:szCs w:val="24"/>
        </w:rPr>
        <w:t xml:space="preserve"> стороны акт сверки. Сублицензиат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Лицензиату один экземпляр надлежаще оформленного акта.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7"/>
        <w:numPr>
          <w:ilvl w:val="0"/>
          <w:numId w:val="1"/>
        </w:numPr>
        <w:ind w:left="0" w:firstLine="567"/>
        <w:jc w:val="center"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Срок действия договора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87"/>
        <w:ind w:left="567"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Договор вступает в силу и становится обязательным для Сторон с момента его подписания (в </w:t>
      </w:r>
      <w:r>
        <w:rPr>
          <w:iCs/>
          <w:sz w:val="24"/>
          <w:szCs w:val="24"/>
        </w:rPr>
        <w:t xml:space="preserve">Диадок</w:t>
      </w:r>
      <w:r>
        <w:rPr>
          <w:iCs/>
          <w:sz w:val="24"/>
          <w:szCs w:val="24"/>
        </w:rPr>
        <w:t xml:space="preserve">) и действует до полного исполнения Сторонами принятых на себя обязательств.</w:t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pStyle w:val="1086"/>
        <w:ind w:left="709" w:firstLine="0"/>
        <w:jc w:val="both"/>
        <w:widowControl w:val="off"/>
        <w:tabs>
          <w:tab w:val="left" w:pos="993" w:leader="none"/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7"/>
        <w:numPr>
          <w:ilvl w:val="0"/>
          <w:numId w:val="1"/>
        </w:numPr>
        <w:ind w:left="0" w:firstLine="567"/>
        <w:jc w:val="center"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Соблюдение требований к заключению договора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87"/>
        <w:ind w:left="567"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Лицензиат заверяет Сублицензиата и гарантирует ему, что: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ab/>
        <w:t xml:space="preserve">вправе совершить сделк</w:t>
      </w:r>
      <w:r>
        <w:rPr>
          <w:sz w:val="24"/>
          <w:szCs w:val="24"/>
        </w:rPr>
        <w:t xml:space="preserve">у на условиях настоящего Договора, осуществлять свои права и исполнять свои обязанности по настоящему Договору, и никакие ограничения не будут возложены органами управления Лицензиата на правомочия Лицензиата по заключению и исполнению настоящего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ab/>
        <w:t xml:space="preserve">органы/представители Лицензиата, заключающие настоящий Договор, наделены должным</w:t>
      </w:r>
      <w:r>
        <w:rPr>
          <w:sz w:val="24"/>
          <w:szCs w:val="24"/>
        </w:rPr>
        <w:t xml:space="preserve"> образом полномочиями на его заключение, получены все необходимые разрешения и/или одобрения органов управления Лицензиата, и заключением настоящего Договора они не нарушают ни одно из положений уставных, внутренних документов и решений органов управления;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если в период действия настоящего Договора в полномочиях органов/представителей Лицензиата произойдут какие-либо изменения либо произойдет изменение органов/п</w:t>
      </w:r>
      <w:r>
        <w:rPr>
          <w:sz w:val="24"/>
          <w:szCs w:val="24"/>
        </w:rPr>
        <w:t xml:space="preserve">редставителей Лицензиата, Лицензиат обязуется предоставить Сублицензиату соответствующие документальные подтверждения. Если в связи с вышеуказанными изменениями потребуется разрешение и/или одобрение органов управления Лицензиата, Лицензиат обязуется прило</w:t>
      </w:r>
      <w:r>
        <w:rPr>
          <w:sz w:val="24"/>
          <w:szCs w:val="24"/>
        </w:rPr>
        <w:t xml:space="preserve">жить все усилия для получения соответствующего разрешения и/или одобрения своих органов управления и предоставить эти разрешения и/или одобрения Сублицензиату. Риск неблагоприятных последствий непредоставления документального подтверждения несет Лицензиат.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окажется, что какое-либо из заверений и гарантий, данны</w:t>
      </w:r>
      <w:r>
        <w:rPr>
          <w:sz w:val="24"/>
          <w:szCs w:val="24"/>
        </w:rPr>
        <w:t xml:space="preserve">х Лицензиатом в настоящем Договоре, не соответствует действительности или Лицензиат, в том числе не выполнит обязательств, взятых на себя в соответствии с пунктом 6.1 настоящего Договора, Сублицензиат вправе отказаться от исполнения настоящего Договора в о</w:t>
      </w:r>
      <w:r>
        <w:rPr>
          <w:sz w:val="24"/>
          <w:szCs w:val="24"/>
        </w:rPr>
        <w:t xml:space="preserve">дностороннем внесудебном порядке, направив Лицензиату соответствующее уведомление, и требовать от Лицензиата возврата полной стоимости вознаграждения за предоставление прав использования ПО, указанного в пункте 3.1 настоящего Договора, а также возмещения у</w:t>
      </w:r>
      <w:r>
        <w:rPr>
          <w:sz w:val="24"/>
          <w:szCs w:val="24"/>
        </w:rPr>
        <w:t xml:space="preserve">бытков в полном размере. В этом случае, Лицензиат обязуется вернуть Сублицензиату в полном объеме денежные средства в размере стоимости вознаграждения за предоставление прав использования ПО, указанного в пункте 3.1 настоящего Договора, в течение 5 (пяти) </w:t>
      </w:r>
      <w:r>
        <w:rPr>
          <w:sz w:val="24"/>
          <w:szCs w:val="24"/>
        </w:rPr>
        <w:t xml:space="preserve">календарных дней с момента получения соответств</w:t>
      </w:r>
      <w:r>
        <w:rPr>
          <w:sz w:val="24"/>
          <w:szCs w:val="24"/>
        </w:rPr>
        <w:t xml:space="preserve">ующего письменного требования от Сублицензиата. Признание недействительным настоящего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</w:t>
      </w:r>
      <w:r>
        <w:rPr>
          <w:sz w:val="24"/>
          <w:szCs w:val="24"/>
        </w:rPr>
        <w:t xml:space="preserve">тков в случае невыполнения или ненадлежащего выполнения Лицензиатом обязательств по настоящему Договору, в том числе взятых на себя в соответствии с пунктом 6.1 настоящего Договора, что повлекло признание недействительным настоящего Договора или его части.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Лицензиат гарантирует, что передаваемое ПО не содержит коммерческую тайну и иную конфиденциальную информацию, принадлежащую Лицензиату и третьим лицам, которая защищена действующим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 w:val="off"/>
        <w:tabs>
          <w:tab w:val="left" w:pos="993" w:leader="none"/>
          <w:tab w:val="num" w:pos="511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7"/>
        <w:numPr>
          <w:ilvl w:val="0"/>
          <w:numId w:val="1"/>
        </w:numPr>
        <w:ind w:left="0" w:firstLine="567"/>
        <w:jc w:val="center"/>
        <w:spacing w:after="0"/>
        <w:widowControl w:val="off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Антикоррупционная оговорка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87"/>
        <w:ind w:left="567"/>
        <w:spacing w:after="0"/>
        <w:widowControl w:val="off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06"/>
        <w:numPr>
          <w:ilvl w:val="1"/>
          <w:numId w:val="1"/>
        </w:numPr>
        <w:contextualSpacing/>
        <w:ind w:left="0" w:firstLine="709"/>
        <w:tabs>
          <w:tab w:val="num" w:pos="4395" w:leader="none"/>
        </w:tabs>
      </w:pPr>
      <w:r>
        <w:t xml:space="preserve">Лицензиату известно о том, что Сублицензиат ведет антикоррупционную политику и развивает не допускающую коррупционных проявлений культуру.</w:t>
      </w:r>
      <w:r/>
    </w:p>
    <w:p>
      <w:pPr>
        <w:ind w:firstLine="709"/>
        <w:jc w:val="both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</w:t>
      </w:r>
      <w:r>
        <w:rPr>
          <w:sz w:val="24"/>
          <w:szCs w:val="24"/>
        </w:rPr>
        <w:t xml:space="preserve">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851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</w:t>
      </w:r>
      <w:r>
        <w:rPr>
          <w:sz w:val="24"/>
          <w:szCs w:val="24"/>
        </w:rPr>
        <w:t xml:space="preserve">оговора законодательством, как дача/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путем.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</w:t>
      </w:r>
      <w:r>
        <w:rPr>
          <w:sz w:val="24"/>
          <w:szCs w:val="24"/>
        </w:rPr>
        <w:t xml:space="preserve">ванного лица произошло или может произойти нарушение каких-либо положений настоящего пункта,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</w:t>
      </w:r>
      <w:r>
        <w:rPr>
          <w:sz w:val="24"/>
          <w:szCs w:val="24"/>
        </w:rPr>
        <w:t xml:space="preserve"> этой Стороны (почта, указанная в разделе 13).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произойдет.</w:t>
      </w:r>
      <w:r>
        <w:rPr>
          <w:bCs/>
          <w:sz w:val="24"/>
          <w:szCs w:val="24"/>
        </w:rPr>
        <w:t xml:space="preserve"> 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В письменном уведомлении Сторона обязана сослаться на факты или предоставить материалы, достов</w:t>
      </w:r>
      <w:r>
        <w:rPr>
          <w:sz w:val="24"/>
          <w:szCs w:val="24"/>
        </w:rPr>
        <w:t xml:space="preserve">ерно подтверждающие или дающие основание предполагать, что произошло или может произойти нарушение каких-либо положений настоящего пункта Стороной-контрагентом, его аффилированными лицами, работниками или посредниками выражающееся в действиях, квалифицируе</w:t>
      </w:r>
      <w:r>
        <w:rPr>
          <w:sz w:val="24"/>
          <w:szCs w:val="24"/>
        </w:rPr>
        <w:t xml:space="preserve">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contextualSpacing/>
        <w:ind w:left="0" w:firstLine="709"/>
      </w:pPr>
      <w:r>
        <w:t xml:space="preserve">В случае нарушения одной Стороной обяз</w:t>
      </w:r>
      <w:r>
        <w:t xml:space="preserve">ательств воздерживаться от запрещенных в пункте 7.1 настоящего Договора действий и/или неполучения другой Стороной в установленном пункте 7.1 настоящего Договора срок подтверждения, что нарушения не произошло или не произойдет, другая Сторона имеет право р</w:t>
      </w:r>
      <w:r>
        <w:t xml:space="preserve">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пункта 7.1, вправе требовать возмещения реального ущерба, возникшего в </w:t>
      </w:r>
      <w:r>
        <w:t xml:space="preserve">результате такого расторжения, при условии представления подтверждающих такой реальный ущерб документов.</w:t>
      </w:r>
      <w:r/>
    </w:p>
    <w:p>
      <w:pPr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7"/>
        <w:numPr>
          <w:ilvl w:val="0"/>
          <w:numId w:val="1"/>
        </w:numPr>
        <w:ind w:left="0" w:firstLine="567"/>
        <w:jc w:val="center"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Ответственность 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87"/>
        <w:ind w:left="567"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или ненадлежащего исполнения Сторонами своих обязательств по настоящему Договору Стороны несут ответственность в соответствии с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Лицензиатом сроков предоставлен</w:t>
      </w:r>
      <w:r>
        <w:rPr>
          <w:sz w:val="24"/>
          <w:szCs w:val="24"/>
        </w:rPr>
        <w:t xml:space="preserve">ия права использования ПО, последний уплачивает Сублицензиату неустойку (пени) в размере 0,1% (одна десятая процента) от суммы настоящего Договора, указанной в пункте 3.1 настоящего Договора, за каждый день просрочки в предоставлении прав использования ПО.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Сублицензиатом сроков оплаты по Договору, последний уплачивает Лицензиату неустойку (пени) в размере 0,1% (одна десятая процента) от суммы настоящего Договора за каждый день просрочки по оплате.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Лицензиат не вправе уступать, передавать, перепоручать права (требований) и обя</w:t>
      </w:r>
      <w:r>
        <w:rPr>
          <w:sz w:val="24"/>
          <w:szCs w:val="24"/>
        </w:rPr>
        <w:t xml:space="preserve">занности Лицензиата по настоящему Договору без письменного согласия Сублицензиата. В случае нарушения положений настоящего пункта Договора, Лицензиат должен уплатить Сублицензиату неустойку в размере 50% (пятьдесят процентов) от суммы настоящего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Лицензиатом интеллектуальных прав третьих лиц, повлекших предъявление третьими лицами требований к Сублицензиату, связанных с использованием ПО, Лицензиат обязуется компенсировать все </w:t>
      </w:r>
      <w:r>
        <w:rPr>
          <w:sz w:val="24"/>
          <w:szCs w:val="24"/>
        </w:rPr>
        <w:t xml:space="preserve">возникающие</w:t>
      </w:r>
      <w:r>
        <w:rPr>
          <w:sz w:val="24"/>
          <w:szCs w:val="24"/>
        </w:rPr>
        <w:t xml:space="preserve"> в связи с этим убытки Сублицензиата, а также затраты на уплату штрафных и иных санкций.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Уплата неустойки не освобождает ни одну из Сторон настоящего Договора от надлежащего исполнения его условий в полном объёме.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Лицензиатом обязательств по настоящему Договору Сублицензиат вправе в одностороннем внесудебном порядке отказаться от исполнения настоящего Договора и требовать от Лицензиата возмещения убытков.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нарушение Лицензиатом сроков исполнения обязательств по предоставлению документов в соответствии с пунктами 4.6, 4.7 настоящего Договора Сублицензиат имеет право потребовать от Лице</w:t>
      </w:r>
      <w:r>
        <w:rPr>
          <w:sz w:val="24"/>
          <w:szCs w:val="24"/>
        </w:rPr>
        <w:t xml:space="preserve">нзиата уплаты пени в размере 1/360 ключевой ставки ЦБ РФ от суммы неисполненного обязательства за каждый день просрочки. Стороны договорились, что в случае нарушения Лицензиатом сроков исполнения обязательств по предоставлению документов в соответствии с п</w:t>
      </w:r>
      <w:r>
        <w:rPr>
          <w:sz w:val="24"/>
          <w:szCs w:val="24"/>
        </w:rPr>
        <w:t xml:space="preserve">унктами 4.6, 4.7 настоящего Договора для целей расчета пеней, указанных в настоящем пункте, суммой неисполненного Лицензиатом обязательства считается сумма, которая должна быть указана в документах, подтверждающих факт предоставления прав использования ПО.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1"/>
          <w:numId w:val="1"/>
        </w:numPr>
        <w:contextualSpacing/>
        <w:ind w:left="0" w:firstLine="709"/>
        <w:jc w:val="both"/>
        <w:tabs>
          <w:tab w:val="left" w:pos="1276" w:leader="none"/>
        </w:tabs>
        <w:rPr>
          <w:color w:val="000000" w:themeColor="text1"/>
          <w:sz w:val="24"/>
          <w:szCs w:val="24"/>
        </w:rPr>
      </w:pPr>
      <w:r/>
      <w:bookmarkStart w:id="12" w:name="_Hlk71801672"/>
      <w:r/>
      <w:bookmarkStart w:id="13" w:name="_Hlk69720459"/>
      <w:r>
        <w:rPr>
          <w:color w:val="000000" w:themeColor="text1"/>
          <w:sz w:val="24"/>
          <w:szCs w:val="24"/>
        </w:rPr>
        <w:t xml:space="preserve">В случае невыполнения или ненадлежащего выполнения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ом любой из обязанностей по предоставлению документов/информации, предусмотренных настоящим Договором, недостоверности (в том числе час</w:t>
      </w:r>
      <w:r>
        <w:rPr>
          <w:color w:val="000000" w:themeColor="text1"/>
          <w:sz w:val="24"/>
          <w:szCs w:val="24"/>
        </w:rPr>
        <w:t xml:space="preserve">тичной) любого из заверений об обстоятельствах, указанных в настоящем Договоре, Сублицензиат вправе в одностороннем внесудебном порядке отказаться от исполнения Договора в соответствии со статьями 310, 450 и 450.1 Гражданского кодекса Российской Федерации.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1085"/>
        <w:ind w:left="0" w:firstLine="709"/>
        <w:jc w:val="both"/>
        <w:tabs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Стороны признают, что указанное в настоящем пункте основание для одностороннего отказа от исполнения Договора относится к основаниям, связанным с нарушением Лицензиатом своих обязательств.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1085"/>
        <w:numPr>
          <w:ilvl w:val="1"/>
          <w:numId w:val="1"/>
        </w:numPr>
        <w:contextualSpacing/>
        <w:ind w:left="0" w:firstLine="709"/>
        <w:jc w:val="both"/>
        <w:tabs>
          <w:tab w:val="left" w:pos="460" w:leader="none"/>
          <w:tab w:val="left" w:pos="1418" w:leader="none"/>
        </w:tabs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</w:pPr>
      <w:r/>
      <w:bookmarkStart w:id="14" w:name="_Hlk71801949"/>
      <w:r/>
      <w:bookmarkEnd w:id="12"/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  <w:t xml:space="preserve">Стороны согласовали, что независимо от достоверности или недостоверности заверений об обстоятельствах, данных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ом</w:t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настоящим Договором, </w:t>
      </w:r>
      <w:r>
        <w:rPr>
          <w:color w:val="000000" w:themeColor="text1"/>
          <w:sz w:val="24"/>
          <w:szCs w:val="24"/>
        </w:rPr>
        <w:t xml:space="preserve">Лицензиат</w:t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  <w:t xml:space="preserve"> обязуется возместить все возникшие у Сублицензиата потери (в смысле статьи 406.1. ГК РФ) при наличии в совокупности следующих обстоятельств:</w:t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1085"/>
        <w:ind w:left="0" w:firstLine="709"/>
        <w:jc w:val="both"/>
        <w:tabs>
          <w:tab w:val="left" w:pos="323" w:leader="none"/>
        </w:tabs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  <w:t xml:space="preserve">а) в порядке применения ст. 101 Налогового кодекса Российской Федерации налоговым органом в отношении Сублицензиата вынесено решен</w:t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  <w:t xml:space="preserve">ие о привлечении  к ответственности / отказе в привлечении к ответственности за совершение налогового правонарушения с указанием сумм недоимки по налогам (налог  на прибыль, НДС), соответствующих сумм штрафов, пеней, вызванных недобросовестными действиями </w:t>
      </w:r>
      <w:r>
        <w:rPr>
          <w:sz w:val="24"/>
          <w:szCs w:val="24"/>
        </w:rPr>
        <w:t xml:space="preserve">Лицензиат</w:t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  <w:t xml:space="preserve">а, а также привлеченных в целях исполнения настоящего Договора соисполнителей / субподрядчиков  при исчислении и уплате налогов;</w:t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1085"/>
        <w:ind w:left="0" w:firstLine="709"/>
        <w:jc w:val="both"/>
        <w:tabs>
          <w:tab w:val="left" w:pos="460" w:leader="none"/>
        </w:tabs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  <w:t xml:space="preserve">б) </w:t>
      </w:r>
      <w:r>
        <w:rPr>
          <w:color w:val="000000" w:themeColor="text1"/>
          <w:sz w:val="24"/>
          <w:szCs w:val="24"/>
        </w:rPr>
        <w:t xml:space="preserve">суммы недоимки по налогам (налог на прибыль, НДС), соответствующие суммы штрафов, пеней будут списаны с банковского счета Сублицензиата в </w:t>
      </w:r>
      <w:r>
        <w:rPr>
          <w:color w:val="000000" w:themeColor="text1"/>
          <w:sz w:val="24"/>
          <w:szCs w:val="24"/>
        </w:rPr>
        <w:t xml:space="preserve">безакцептном</w:t>
      </w:r>
      <w:r>
        <w:rPr>
          <w:color w:val="000000" w:themeColor="text1"/>
          <w:sz w:val="24"/>
          <w:szCs w:val="24"/>
        </w:rPr>
        <w:t xml:space="preserve"> порядке / перечислены Сублицензиатом добровольно по требованию налогового органа</w:t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  <w:t xml:space="preserve">.</w:t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1085"/>
        <w:ind w:left="0" w:firstLine="709"/>
        <w:jc w:val="both"/>
        <w:tabs>
          <w:tab w:val="left" w:pos="460" w:leader="none"/>
        </w:tabs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Лицензиат</w:t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  <w:t xml:space="preserve"> возмещает Сублицензиату указанные в настоящем пункте имущественные потери в течение 10 (десяти) дней с даты предъявления Сублицензиатом соответствующего требования в размере сумм, списанных с банковского счета Сублицензиата в </w:t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  <w:t xml:space="preserve">безакцептном</w:t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порядке/</w:t>
      </w:r>
      <w:r>
        <w:rPr>
          <w:color w:val="000000" w:themeColor="text1"/>
          <w:sz w:val="24"/>
          <w:szCs w:val="24"/>
        </w:rPr>
        <w:t xml:space="preserve">перечисленных Сублицензиатом добровольно по требованию налогового органа</w:t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1085"/>
        <w:numPr>
          <w:ilvl w:val="1"/>
          <w:numId w:val="1"/>
        </w:numPr>
        <w:contextualSpacing/>
        <w:ind w:left="0" w:firstLine="709"/>
        <w:jc w:val="both"/>
        <w:tabs>
          <w:tab w:val="left" w:pos="0" w:leader="none"/>
          <w:tab w:val="left" w:pos="1276" w:leader="none"/>
        </w:tabs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  <w:t xml:space="preserve">Стороны согласовали, что Сублицензиат в течение 10 (деся</w:t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  <w:t xml:space="preserve">ти) календарных дней с момента получения в порядке статьи 100 Налогового кодекса Российской Федерации акта налоговой проверки, в котором проверяющими отражены выявленные нарушения законодательства о налогах и сборах, вызванные недобросовестными действиями </w:t>
      </w:r>
      <w:r>
        <w:rPr>
          <w:sz w:val="24"/>
          <w:szCs w:val="24"/>
        </w:rPr>
        <w:t xml:space="preserve">Лицензиат</w:t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  <w:t xml:space="preserve">а при исчислении и уплате налогов,  а также привлеченных в целях исполнения настоящего договора соисполнителей / субподрядчиков, направляет в адрес </w:t>
      </w:r>
      <w:r>
        <w:rPr>
          <w:sz w:val="24"/>
          <w:szCs w:val="24"/>
        </w:rPr>
        <w:t xml:space="preserve">Лицензиат</w:t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  <w:t xml:space="preserve">а выписку из акта налогового органа по соответствующему эпизоду (далее – Выписка).</w:t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1085"/>
        <w:numPr>
          <w:ilvl w:val="1"/>
          <w:numId w:val="1"/>
        </w:numPr>
        <w:contextualSpacing/>
        <w:ind w:left="0" w:firstLine="709"/>
        <w:jc w:val="both"/>
        <w:tabs>
          <w:tab w:val="left" w:pos="0" w:leader="none"/>
          <w:tab w:val="left" w:pos="1134" w:leader="none"/>
          <w:tab w:val="left" w:pos="1276" w:leader="none"/>
        </w:tabs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  <w:t xml:space="preserve">Стороны согласовали, что в случае несогласия с фактами, изложенными в Выписке, а также с выводами и предложениями проверяющих, </w:t>
      </w:r>
      <w:r>
        <w:rPr>
          <w:sz w:val="24"/>
          <w:szCs w:val="24"/>
        </w:rPr>
        <w:t xml:space="preserve">Лицензиат</w:t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  <w:t xml:space="preserve">  в течение 10 (десяти) календарных дней с момента получения Выпи</w:t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  <w:t xml:space="preserve">ски направляет в адрес Сублицензиата письменные мотивированные возражения по фактам (выводам проверяющих), содержащимся в ней, которые Сублицензиат обязан представить  в налоговый орган в порядке пункта 6 статьи 100 Налогового кодекса Российской Федерации.</w:t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1085"/>
        <w:ind w:left="0" w:firstLine="709"/>
        <w:jc w:val="both"/>
        <w:tabs>
          <w:tab w:val="left" w:pos="460" w:leader="none"/>
          <w:tab w:val="left" w:pos="993" w:leader="none"/>
        </w:tabs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непредставления </w:t>
      </w:r>
      <w:r>
        <w:rPr>
          <w:sz w:val="24"/>
          <w:szCs w:val="24"/>
        </w:rPr>
        <w:t xml:space="preserve">Лицензиат</w:t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  <w:t xml:space="preserve">ом в указанный выше срок письменных мотивированных возражений по фактам (выводам проверяющих), содержащимся в Выписке, </w:t>
      </w:r>
      <w:r>
        <w:rPr>
          <w:sz w:val="24"/>
          <w:szCs w:val="24"/>
        </w:rPr>
        <w:t xml:space="preserve">Лицензиат</w:t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  <w:t xml:space="preserve"> считается согласившимся с правомерностью выводов проверяющих, изложенных в Выписке, и полностью снявшим с Сублицензиата обязанность по оспариванию выводов проверяющих. </w:t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1085"/>
        <w:numPr>
          <w:ilvl w:val="1"/>
          <w:numId w:val="1"/>
        </w:numPr>
        <w:contextualSpacing/>
        <w:ind w:left="0" w:firstLine="709"/>
        <w:jc w:val="both"/>
        <w:tabs>
          <w:tab w:val="left" w:pos="460" w:leader="none"/>
          <w:tab w:val="left" w:pos="1276" w:leader="none"/>
        </w:tabs>
        <w:rPr>
          <w:bCs/>
          <w:sz w:val="24"/>
          <w:szCs w:val="24"/>
        </w:rPr>
      </w:pPr>
      <w:r>
        <w:rPr>
          <w:rStyle w:val="1120"/>
          <w:rFonts w:ascii="Times New Roman" w:hAnsi="Times New Roman" w:eastAsia="Calibri" w:cs="Times New Roman"/>
          <w:color w:val="000000" w:themeColor="text1"/>
          <w:sz w:val="24"/>
          <w:szCs w:val="24"/>
        </w:rPr>
        <w:t xml:space="preserve">В случае если после возмещения </w:t>
      </w:r>
      <w:r>
        <w:rPr>
          <w:sz w:val="24"/>
          <w:szCs w:val="24"/>
        </w:rPr>
        <w:t xml:space="preserve">Лицензиат</w:t>
      </w:r>
      <w:r>
        <w:rPr>
          <w:rStyle w:val="1120"/>
          <w:rFonts w:ascii="Times New Roman" w:hAnsi="Times New Roman" w:cs="Times New Roman"/>
          <w:color w:val="000000" w:themeColor="text1"/>
          <w:sz w:val="24"/>
          <w:szCs w:val="24"/>
        </w:rPr>
        <w:t xml:space="preserve">ом</w:t>
      </w:r>
      <w:r>
        <w:rPr>
          <w:rStyle w:val="1120"/>
          <w:rFonts w:ascii="Times New Roman" w:hAnsi="Times New Roman" w:eastAsia="Calibri" w:cs="Times New Roman"/>
          <w:color w:val="000000" w:themeColor="text1"/>
          <w:sz w:val="24"/>
          <w:szCs w:val="24"/>
        </w:rPr>
        <w:t xml:space="preserve"> имущественных потерь в соответствии с пунктом 8.10. настоящего Договора решение (иной ненормативный акт) налогового органа будет признано незаконным в той части, в соответствии с которой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ом</w:t>
      </w:r>
      <w:r>
        <w:rPr>
          <w:rStyle w:val="1120"/>
          <w:rFonts w:ascii="Times New Roman" w:hAnsi="Times New Roman" w:eastAsia="Calibri" w:cs="Times New Roman"/>
          <w:color w:val="000000" w:themeColor="text1"/>
          <w:sz w:val="24"/>
          <w:szCs w:val="24"/>
        </w:rPr>
        <w:t xml:space="preserve"> было произведено возмещение имущественных потерь Сублицензиату, Сублицензиат обязуется возвратить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у</w:t>
      </w:r>
      <w:r>
        <w:rPr>
          <w:rStyle w:val="1120"/>
          <w:rFonts w:ascii="Times New Roman" w:hAnsi="Times New Roman" w:eastAsia="Calibri" w:cs="Times New Roman"/>
          <w:color w:val="000000" w:themeColor="text1"/>
          <w:sz w:val="24"/>
          <w:szCs w:val="24"/>
        </w:rPr>
        <w:t xml:space="preserve"> полученную сумму (без учета процентов) в размере возвращенных налоговым органом взысканных сумм в течение 10 дней со дня их возврата. При этом </w:t>
      </w:r>
      <w:r>
        <w:rPr>
          <w:color w:val="000000" w:themeColor="text1"/>
          <w:sz w:val="24"/>
          <w:szCs w:val="24"/>
        </w:rPr>
        <w:t xml:space="preserve">проценты, предусмотренные </w:t>
      </w:r>
      <w:hyperlink r:id="rId12" w:tooltip="consultantplus://offline/ref=7E4BED945EF4DDADD9F662AEA27BE2FEC8B399A96B057794419AA9F0A75AB620DEE5EB8FFDB3DD98c7DAL" w:history="1">
        <w:r>
          <w:rPr>
            <w:color w:val="000000" w:themeColor="text1"/>
            <w:sz w:val="24"/>
            <w:szCs w:val="24"/>
          </w:rPr>
          <w:t xml:space="preserve">статей 395</w:t>
        </w:r>
      </w:hyperlink>
      <w:r>
        <w:rPr>
          <w:color w:val="000000" w:themeColor="text1"/>
          <w:sz w:val="24"/>
          <w:szCs w:val="24"/>
        </w:rPr>
        <w:t xml:space="preserve"> Гражданского </w:t>
      </w:r>
      <w:r>
        <w:rPr>
          <w:sz w:val="24"/>
          <w:szCs w:val="24"/>
        </w:rPr>
        <w:t xml:space="preserve">кодекса Российской Федерации, не подлежат начислению на сумму, возвращенную Сублицензиатом Лицензиату.</w:t>
      </w:r>
      <w:bookmarkEnd w:id="13"/>
      <w:r/>
      <w:bookmarkEnd w:id="14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567"/>
        <w:jc w:val="both"/>
        <w:widowControl w:val="off"/>
        <w:tabs>
          <w:tab w:val="num" w:pos="56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0"/>
          <w:numId w:val="1"/>
        </w:numPr>
        <w:contextualSpacing/>
        <w:jc w:val="center"/>
        <w:widowControl w:val="off"/>
        <w:tabs>
          <w:tab w:val="left" w:pos="142" w:leader="none"/>
          <w:tab w:val="left" w:pos="284" w:leader="none"/>
          <w:tab w:val="left" w:pos="1276" w:leader="none"/>
          <w:tab w:val="left" w:pos="156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Обстоятельства непреодолимой силы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85"/>
        <w:numPr>
          <w:ilvl w:val="1"/>
          <w:numId w:val="1"/>
        </w:numPr>
        <w:contextualSpacing/>
        <w:ind w:left="0" w:firstLine="567"/>
        <w:jc w:val="both"/>
        <w:widowControl w:val="off"/>
        <w:tabs>
          <w:tab w:val="left" w:pos="142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по настоящему Договору освобождаются</w:t>
      </w:r>
      <w:r>
        <w:rPr>
          <w:sz w:val="24"/>
          <w:szCs w:val="24"/>
        </w:rPr>
        <w:t xml:space="preserve"> от ответственности за полное или частичное неисполнение либо ненадлежащее исполнение своих обязательств в случае, если такое неисполнение явилось следствием обстоятельств непреодолимой силы, то есть событий, которые нельзя было предвидеть или предотвратит</w:t>
      </w:r>
      <w:r>
        <w:rPr>
          <w:sz w:val="24"/>
          <w:szCs w:val="24"/>
        </w:rPr>
        <w:t xml:space="preserve">ь. К таким событиям относятся: стихийные бедствия, военные действия, принятие государственными органами или органами местного самоуправления нормативных или правоприменительных актов и иные действия, находящиеся вне разумного предвидения и контроля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1"/>
          <w:numId w:val="1"/>
        </w:numPr>
        <w:contextualSpacing/>
        <w:ind w:left="0" w:firstLine="567"/>
        <w:jc w:val="both"/>
        <w:widowControl w:val="off"/>
        <w:tabs>
          <w:tab w:val="left" w:pos="142" w:leader="none"/>
          <w:tab w:val="left" w:pos="426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наступлении обстоятельств непреодолимой силы каждая Сторона должна не позднее 5 (пяти) рабочих дней с момента наступления таких обстоятельств известить о них в </w:t>
      </w:r>
      <w:r>
        <w:rPr>
          <w:sz w:val="24"/>
          <w:szCs w:val="24"/>
        </w:rPr>
        <w:t xml:space="preserve">письменном виде другую Сторону. Извещение должно содержать данные о характере обстоятельств, оценку их влияния на возможность исполнения Стороной своих обязательств по данному Договору, а также предполагаемые сроки их действия.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1"/>
          <w:numId w:val="1"/>
        </w:numPr>
        <w:ind w:left="0" w:firstLine="567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наступления обстоятельств непреодолимой силы срок выполнения Стороной обязательств</w:t>
      </w:r>
      <w:r>
        <w:rPr>
          <w:sz w:val="24"/>
          <w:szCs w:val="24"/>
        </w:rPr>
        <w:t xml:space="preserve"> по настоящему Договору отодвигается соразмерно времени, в течение которого действуют эти обстоятельства и их последствия, при условии предоставления заверенных полномочными государственными органами документов, подтверждающих вышеуказанные обстоятельства.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1"/>
          <w:numId w:val="1"/>
        </w:numPr>
        <w:ind w:left="0" w:firstLine="567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действие об</w:t>
      </w:r>
      <w:r>
        <w:rPr>
          <w:sz w:val="24"/>
          <w:szCs w:val="24"/>
        </w:rPr>
        <w:t xml:space="preserve">стоятельств непреодолимой силы продолжается свыше одного месяца,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/>
      <w:bookmarkStart w:id="15" w:name="_Hlk77856251"/>
      <w:r>
        <w:rPr>
          <w:color w:val="000000"/>
          <w:sz w:val="24"/>
          <w:szCs w:val="24"/>
        </w:rPr>
        <w:t xml:space="preserve">Настоящий Договор составлен и подписан в условиях распространения </w:t>
      </w:r>
      <w:r>
        <w:rPr>
          <w:color w:val="000000"/>
          <w:sz w:val="24"/>
          <w:szCs w:val="24"/>
        </w:rPr>
        <w:t xml:space="preserve">коронавирусной</w:t>
      </w:r>
      <w:r>
        <w:rPr>
          <w:color w:val="000000"/>
          <w:sz w:val="24"/>
          <w:szCs w:val="24"/>
        </w:rPr>
        <w:t xml:space="preserve"> инфекции, при этом Стороны не признают данное событие обстоятельством непреодолимой силы и не могут на него ссылаться в случае неисполнения или ненадлежащего исполнения </w:t>
      </w:r>
      <w:bookmarkEnd w:id="15"/>
      <w:r>
        <w:rPr>
          <w:color w:val="000000"/>
          <w:sz w:val="24"/>
          <w:szCs w:val="24"/>
        </w:rPr>
        <w:t xml:space="preserve">обязательств.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 w:val="off"/>
        <w:tabs>
          <w:tab w:val="left" w:pos="993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0"/>
          <w:numId w:val="1"/>
        </w:numPr>
        <w:contextualSpacing/>
        <w:jc w:val="center"/>
        <w:shd w:val="clear" w:color="auto" w:fill="ffffff"/>
        <w:widowControl w:val="off"/>
        <w:tabs>
          <w:tab w:val="num" w:pos="567" w:leader="none"/>
          <w:tab w:val="left" w:pos="1418" w:leader="none"/>
        </w:tabs>
        <w:rPr>
          <w:b/>
          <w:sz w:val="24"/>
          <w:szCs w:val="24"/>
        </w:rPr>
      </w:pPr>
      <w:r/>
      <w:bookmarkStart w:id="16" w:name="_Hlk66174077"/>
      <w:r>
        <w:rPr>
          <w:b/>
          <w:sz w:val="24"/>
          <w:szCs w:val="24"/>
        </w:rPr>
        <w:t xml:space="preserve">Основания расторжения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hd w:val="clear" w:color="auto" w:fill="ffffff"/>
        <w:widowControl w:val="off"/>
        <w:tabs>
          <w:tab w:val="left" w:pos="1418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 w:val="off"/>
        <w:tabs>
          <w:tab w:val="left" w:pos="720" w:leader="none"/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Сублицензиат вправе в одностороннем порядке отказаться от исполнения настоящего Договора в следующих случаях: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left" w:pos="1418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задержки Лицензиатом выполнения обязательств по настоящему Договору более чем на 10 (десять) рабочих дней по причинам, не зависящим от Сублицензиата;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left" w:pos="1418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нарушения Лицензиатом условий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 w:val="off"/>
        <w:tabs>
          <w:tab w:val="left" w:pos="720" w:leader="none"/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Уведомление о расторжении настоящего Договора должно быть направлено </w:t>
      </w:r>
      <w:r>
        <w:rPr>
          <w:sz w:val="24"/>
          <w:szCs w:val="24"/>
        </w:rPr>
        <w:t xml:space="preserve">Лицензиату посредством электронной связи на адрес электронной почты, указанный в разделе 16 настоящего Договора, не позднее, чем за 10 (десять) рабочих дней до предполагаемой даты его расторжения с последующим направлением уведомления на бумажном носителе.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1"/>
          <w:numId w:val="1"/>
        </w:numPr>
        <w:ind w:left="0" w:firstLine="709"/>
        <w:jc w:val="both"/>
        <w:shd w:val="clear" w:color="auto" w:fill="ffffff"/>
        <w:widowControl w:val="off"/>
        <w:tabs>
          <w:tab w:val="left" w:pos="720" w:leader="none"/>
          <w:tab w:val="left" w:pos="1134" w:leader="none"/>
          <w:tab w:val="left" w:pos="1418" w:leader="none"/>
          <w:tab w:val="clear" w:pos="185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Лицензиат вправе в одностороннем порядке отказаться от исполнения настоящего Договора в следующих случаях: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2"/>
          <w:numId w:val="1"/>
        </w:numPr>
        <w:jc w:val="both"/>
        <w:shd w:val="clear" w:color="auto" w:fill="ffffff"/>
        <w:widowControl w:val="off"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Существенного нарушения Сублицензиатом обязанности уплатить Лицензиату в установленный Договором срок вознаграждение.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jc w:val="both"/>
        <w:shd w:val="clear" w:color="auto" w:fill="ffffff"/>
        <w:widowControl w:val="off"/>
        <w:tabs>
          <w:tab w:val="left" w:pos="1134" w:leader="none"/>
          <w:tab w:val="left" w:pos="1418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Неоднократных нарушений Сублицензиатом условий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widowControl w:val="off"/>
        <w:tabs>
          <w:tab w:val="left" w:pos="720" w:leader="none"/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10.4. Уведомление о расторжении настоящего Договора должно быть направлено Суб</w:t>
      </w:r>
      <w:r>
        <w:rPr>
          <w:sz w:val="24"/>
          <w:szCs w:val="24"/>
        </w:rPr>
        <w:t xml:space="preserve">лицензиату посредством электронной связи на адрес электронной почты, указанный в разделе 16 настоящего Договора, не позднее, чем за 10 (десять) рабочих дней до предполагаемой даты его расторжения с последующим направлением уведомления на бумажном носителе.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10.5. Договор считается расторгнутым по основаниям, предусмотренным настоящим разделом, с даты, указанной в уведомлении о расторжении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7"/>
        <w:spacing w:after="0"/>
        <w:widowControl w:val="off"/>
        <w:tabs>
          <w:tab w:val="left" w:pos="142" w:leader="none"/>
          <w:tab w:val="left" w:pos="426" w:leader="none"/>
          <w:tab w:val="left" w:pos="1134" w:leader="none"/>
          <w:tab w:val="left" w:pos="1418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87"/>
        <w:numPr>
          <w:ilvl w:val="0"/>
          <w:numId w:val="1"/>
        </w:numPr>
        <w:ind w:left="0" w:firstLine="709"/>
        <w:jc w:val="center"/>
        <w:spacing w:after="0"/>
        <w:widowControl w:val="off"/>
        <w:tabs>
          <w:tab w:val="left" w:pos="142" w:leader="none"/>
          <w:tab w:val="left" w:pos="426" w:leader="none"/>
          <w:tab w:val="left" w:pos="1134" w:leader="none"/>
          <w:tab w:val="left" w:pos="1418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Заверения об обстоятельствах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42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1085"/>
        <w:numPr>
          <w:ilvl w:val="1"/>
          <w:numId w:val="1"/>
        </w:numPr>
        <w:ind w:left="0"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 заверяет Сублицензиата, что на момент заключения Договора и в течение всего времени его действия: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numPr>
          <w:ilvl w:val="0"/>
          <w:numId w:val="11"/>
        </w:numPr>
        <w:ind w:left="0" w:firstLine="709"/>
        <w:jc w:val="both"/>
        <w:widowControl w:val="off"/>
        <w:tabs>
          <w:tab w:val="left" w:pos="142" w:leader="none"/>
          <w:tab w:val="left" w:pos="426" w:leader="none"/>
          <w:tab w:val="clear" w:pos="1211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работники и иные физические лица, привлекаемые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ом для исполнения обязательств, возникших из настоящего Договора, имеют необходимые для этого знания, опыт и квалификацию, подтверждаемые соответствующими документами. 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numPr>
          <w:ilvl w:val="0"/>
          <w:numId w:val="11"/>
        </w:numPr>
        <w:ind w:left="0" w:firstLine="709"/>
        <w:jc w:val="both"/>
        <w:widowControl w:val="off"/>
        <w:tabs>
          <w:tab w:val="left" w:pos="142" w:leader="none"/>
          <w:tab w:val="left" w:pos="426" w:leader="none"/>
          <w:tab w:val="clear" w:pos="1211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заключение и исполнение настоящего Договора не противоречит и не представляет собой нарушения какого-либо иного обязательства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а, проистекающего из какой-либо сделки или иного основания;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numPr>
          <w:ilvl w:val="0"/>
          <w:numId w:val="11"/>
        </w:numPr>
        <w:ind w:left="0" w:firstLine="709"/>
        <w:jc w:val="both"/>
        <w:widowControl w:val="off"/>
        <w:tabs>
          <w:tab w:val="left" w:pos="142" w:leader="none"/>
          <w:tab w:val="left" w:pos="426" w:leader="none"/>
          <w:tab w:val="clear" w:pos="1211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 является платежеспособным и состоятельным. Термины </w:t>
      </w:r>
      <w:r>
        <w:rPr>
          <w:color w:val="000000" w:themeColor="text1"/>
          <w:sz w:val="24"/>
          <w:szCs w:val="24"/>
        </w:rPr>
        <w:t xml:space="preserve">«платежеспособный и состоятельный» для целей настоящей Статьи означает: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left="1276"/>
        <w:jc w:val="both"/>
        <w:widowControl w:val="off"/>
        <w:tabs>
          <w:tab w:val="left" w:pos="142" w:leader="none"/>
          <w:tab w:val="left" w:pos="426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1) что чистые активы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а составляют положительную величину, превышающую размер его уставного капитала;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left="1276"/>
        <w:jc w:val="both"/>
        <w:widowControl w:val="off"/>
        <w:tabs>
          <w:tab w:val="left" w:pos="142" w:leader="none"/>
          <w:tab w:val="left" w:pos="426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2)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 способен надлежащим образом исполнять свои обязательства по мере того, как такие обязательства становятся обязательными к исполнению;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left="1276"/>
        <w:jc w:val="both"/>
        <w:widowControl w:val="off"/>
        <w:tabs>
          <w:tab w:val="left" w:pos="142" w:leader="none"/>
          <w:tab w:val="left" w:pos="426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3)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 не имеет намерения принимать на себя обязательства, исполнение которых он не мог бы осуществить надлежащим образом;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left="1276"/>
        <w:jc w:val="both"/>
        <w:widowControl w:val="off"/>
        <w:tabs>
          <w:tab w:val="left" w:pos="142" w:leader="none"/>
          <w:tab w:val="left" w:pos="426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4) в отношении </w:t>
      </w:r>
      <w:r>
        <w:rPr>
          <w:sz w:val="24"/>
          <w:szCs w:val="24"/>
        </w:rPr>
        <w:t xml:space="preserve">Лицензиат,</w:t>
      </w:r>
      <w:r>
        <w:rPr>
          <w:color w:val="000000" w:themeColor="text1"/>
          <w:sz w:val="24"/>
          <w:szCs w:val="24"/>
        </w:rPr>
        <w:t xml:space="preserve"> а не имеется возбужденного дела о банкротстве, включая процедуру наблюдения, финансового оздоровления, внешнего управления, конкурсного производства;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left="1276"/>
        <w:jc w:val="both"/>
        <w:widowControl w:val="off"/>
        <w:tabs>
          <w:tab w:val="left" w:pos="142" w:leader="none"/>
          <w:tab w:val="left" w:pos="426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5)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 не располагает сведениями о факте подачи кредитором или намерении кредитора подать в отношении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а заявление о признании его банкротом;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numPr>
          <w:ilvl w:val="0"/>
          <w:numId w:val="11"/>
        </w:numPr>
        <w:ind w:left="0" w:firstLine="709"/>
        <w:jc w:val="both"/>
        <w:widowControl w:val="off"/>
        <w:tabs>
          <w:tab w:val="left" w:pos="142" w:leader="none"/>
          <w:tab w:val="left" w:pos="426" w:leader="none"/>
          <w:tab w:val="clear" w:pos="1211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 обладает ресурсами, технологиями, деловыми связями, знаниями, навыками и умениями, а также опытом, необходимыми для исполнения обязательств, возникших из настоящего Договора;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numPr>
          <w:ilvl w:val="0"/>
          <w:numId w:val="11"/>
        </w:numPr>
        <w:ind w:left="0" w:firstLine="709"/>
        <w:jc w:val="both"/>
        <w:widowControl w:val="off"/>
        <w:tabs>
          <w:tab w:val="left" w:pos="142" w:leader="none"/>
          <w:tab w:val="left" w:pos="426" w:leader="none"/>
          <w:tab w:val="clear" w:pos="1211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, а также привлекаемые в целях исполнения настоящего договора соисполнители являются добросовестными налогоплательщиками;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numPr>
          <w:ilvl w:val="0"/>
          <w:numId w:val="11"/>
        </w:numPr>
        <w:ind w:left="0" w:firstLine="709"/>
        <w:jc w:val="both"/>
        <w:widowControl w:val="off"/>
        <w:tabs>
          <w:tab w:val="left" w:pos="142" w:leader="none"/>
          <w:tab w:val="left" w:pos="426" w:leader="none"/>
          <w:tab w:val="clear" w:pos="1211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, а также привлекаемые в целях исполнения настоящего договора соисполнители включили в состав расчета налоговой базы для целей исчисления и уплаты НДС и налога на прибыль хозяйственные операции, совершенные в рамках настоящего договора;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numPr>
          <w:ilvl w:val="0"/>
          <w:numId w:val="11"/>
        </w:numPr>
        <w:ind w:left="0" w:firstLine="709"/>
        <w:jc w:val="both"/>
        <w:widowControl w:val="off"/>
        <w:tabs>
          <w:tab w:val="left" w:pos="142" w:leader="none"/>
          <w:tab w:val="left" w:pos="426" w:leader="none"/>
          <w:tab w:val="clear" w:pos="1211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отношении каждого привлекаемого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ом соисполнителя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 запросит и изучит информацию и документы (аналогичные информации и документам, запрошенным Сублицензиатом у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а), достаточные для вывода о том, что порядок исчисления и уплаты налогов таким соисполнителем соответствует требованиям действующего налогового законодательства;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numPr>
          <w:ilvl w:val="0"/>
          <w:numId w:val="11"/>
        </w:numPr>
        <w:ind w:left="0" w:firstLine="709"/>
        <w:jc w:val="both"/>
        <w:widowControl w:val="off"/>
        <w:tabs>
          <w:tab w:val="left" w:pos="142" w:leader="none"/>
          <w:tab w:val="left" w:pos="426" w:leader="none"/>
          <w:tab w:val="clear" w:pos="1211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 располагает необходимыми документами, свидетельствующими о том, что порядок исчисления и уплаты налогов таким соисполнителем соответствует требованиям действующего налогового законодательства.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1085"/>
        <w:numPr>
          <w:ilvl w:val="1"/>
          <w:numId w:val="1"/>
        </w:numPr>
        <w:ind w:left="0" w:firstLine="709"/>
        <w:jc w:val="both"/>
        <w:widowControl w:val="off"/>
        <w:tabs>
          <w:tab w:val="left" w:pos="142" w:leader="none"/>
          <w:tab w:val="left" w:pos="426" w:leader="none"/>
          <w:tab w:val="left" w:pos="851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Стороны подтверждают и соглашаются с тем, что указанные в настоящем Договоре заверения об обстоятельствах, а также заверения об обстоятельствах, которые будут предоставляться в период действия настоящего Договора: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jc w:val="both"/>
        <w:widowControl w:val="off"/>
        <w:tabs>
          <w:tab w:val="left" w:pos="142" w:leader="none"/>
          <w:tab w:val="left" w:pos="426" w:leader="none"/>
          <w:tab w:val="left" w:pos="1134" w:leader="none"/>
          <w:tab w:val="clear" w:pos="1211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являются заверениями об обстоятельствах по смыслу статьи 431.2 Гражданского кодекса Российской Федерации, которые имеют значение для заключения и исполнения настоящего Договора;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jc w:val="both"/>
        <w:widowControl w:val="off"/>
        <w:tabs>
          <w:tab w:val="left" w:pos="142" w:leader="none"/>
          <w:tab w:val="left" w:pos="426" w:leader="none"/>
          <w:tab w:val="left" w:pos="1134" w:leader="none"/>
          <w:tab w:val="clear" w:pos="1211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составляют сведения, на которые полагается Сублицензиат при заключении и исполнении настоящего Договора.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center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85"/>
        <w:numPr>
          <w:ilvl w:val="0"/>
          <w:numId w:val="1"/>
        </w:numPr>
        <w:contextualSpacing/>
        <w:jc w:val="center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Конфиденциальность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1"/>
          <w:numId w:val="1"/>
        </w:numPr>
        <w:contextualSpacing/>
        <w:ind w:left="0"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в течение срока действия настоящего Договора, а также в течение 5 (пяти) лет по окончани</w:t>
      </w:r>
      <w:r>
        <w:rPr>
          <w:sz w:val="24"/>
          <w:szCs w:val="24"/>
        </w:rPr>
        <w:t xml:space="preserve">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</w:t>
      </w:r>
      <w:r>
        <w:rPr>
          <w:sz w:val="24"/>
          <w:szCs w:val="24"/>
        </w:rPr>
        <w:t xml:space="preserve">ющихся общедоступными (далее –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ind w:left="0"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обязуются при передаче информации соблюдать запреты, установленные антимонопольным законодательством, в том числе обязуются не использовать полученную информацию с целью недопущения, ограничения, устранения конкуренции и (или) ущемления </w:t>
      </w:r>
      <w:r>
        <w:rPr>
          <w:sz w:val="24"/>
          <w:szCs w:val="24"/>
        </w:rPr>
        <w:t xml:space="preserve">интересов друг</w:t>
      </w:r>
      <w:r>
        <w:rPr>
          <w:sz w:val="24"/>
          <w:szCs w:val="24"/>
        </w:rPr>
        <w:t xml:space="preserve">их лиц (хозяйствующих субъектов) в сфере предпринимательской деятельности либо неопределенного круга потребителей, в том числе действий (бездействия), указанных в статьях 10, 11, 11.1, 14.7 Федерального закона «О защите конкуренции» от 26.07.2006 N 135-ФЗ.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ind w:left="0"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подтверждают, что передача информации осуществляется исключительно в целях обмена информацией в рамках исполнения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1"/>
          <w:numId w:val="1"/>
        </w:numPr>
        <w:contextualSpacing/>
        <w:ind w:left="0"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- хранить конфиденциальную информацию исключительно в предназначенных для этого местах, исключающих доступ к ней третьих лиц;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-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1"/>
          <w:numId w:val="1"/>
        </w:numPr>
        <w:contextualSpacing/>
        <w:ind w:left="0"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гарантируют полное соблюдение всех условий обработки, хранения и использования полученных персональных данных, согласно Федеральному Закону от 27.07.2006 № 152</w:t>
      </w:r>
      <w:r>
        <w:rPr>
          <w:sz w:val="24"/>
          <w:szCs w:val="24"/>
        </w:rPr>
        <w:noBreakHyphen/>
        <w:t xml:space="preserve">ФЗ «О персональных данных». Настоящим Договором Сублицензиат поручает Лицензиату о</w:t>
      </w:r>
      <w:r>
        <w:rPr>
          <w:sz w:val="24"/>
          <w:szCs w:val="24"/>
        </w:rPr>
        <w:t xml:space="preserve">бработку персональных данных Сублицензиата, в соответствии с ч. 3 ст. 6 Федерального закона от 27.07.2006 № 152-ФЗ «О персональных данных». Лицензиат может осуществлять с персональными данными следующие действия (операции) или совокупность действий (операц</w:t>
      </w:r>
      <w:r>
        <w:rPr>
          <w:sz w:val="24"/>
          <w:szCs w:val="24"/>
        </w:rPr>
        <w:t xml:space="preserve">ий) по обработке персональных данных (с использованием средств автоматизации или без использования таких средств): сбор, запись, систематизацию, накопление, хранение, уточнение (обновление, изменение), извлечение, использование, обезличивание, блокирование</w:t>
      </w:r>
      <w:r>
        <w:rPr>
          <w:sz w:val="24"/>
          <w:szCs w:val="24"/>
        </w:rPr>
        <w:t xml:space="preserve">, удаление, уничтожение, доступ к персональным данным субъектов персональных данных. Целью обработки персональных данных во всех случаях является исполнение Договора, т.е. обработка персональных данных производится в той мере, в которой это разумно необход</w:t>
      </w:r>
      <w:r>
        <w:rPr>
          <w:sz w:val="24"/>
          <w:szCs w:val="24"/>
        </w:rPr>
        <w:t xml:space="preserve">имо для исполнения Договора. Перечень обрабатываемых персональных данных определяется в соответствии с Договором. Лицензиат обязуется соблюдать конфиденциальность персональных данных и иной, охраняемой законом информации, и в любом случае обеспечивать безо</w:t>
      </w:r>
      <w:r>
        <w:rPr>
          <w:sz w:val="24"/>
          <w:szCs w:val="24"/>
        </w:rPr>
        <w:t xml:space="preserve">пасность персональных данных, а также сведений, составляющих коммерческую тайну, при их обработке, на уровне не ниже уровня, определяемого в соответствии c действующим законодательством Российской Федерации в области обработки и защиты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1"/>
          <w:numId w:val="1"/>
        </w:numPr>
        <w:contextualSpacing/>
        <w:ind w:left="0"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1"/>
          <w:numId w:val="1"/>
        </w:numPr>
        <w:contextualSpacing/>
        <w:ind w:left="0"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1"/>
          <w:numId w:val="1"/>
        </w:numPr>
        <w:contextualSpacing/>
        <w:ind w:left="0"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</w:t>
      </w:r>
      <w:r>
        <w:rPr>
          <w:sz w:val="24"/>
          <w:szCs w:val="24"/>
        </w:rPr>
        <w:t xml:space="preserve">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1"/>
          <w:numId w:val="1"/>
        </w:numPr>
        <w:contextualSpacing/>
        <w:ind w:left="0"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явл</w:t>
      </w:r>
      <w:r>
        <w:rPr>
          <w:sz w:val="24"/>
          <w:szCs w:val="24"/>
        </w:rPr>
        <w:t xml:space="preserve">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органов, и должностных лиц в случаях и в порядке, предусмотренных применимым законодательством.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1"/>
          <w:numId w:val="1"/>
        </w:numPr>
        <w:contextualSpacing/>
        <w:ind w:left="0"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</w:t>
      </w:r>
      <w:r>
        <w:rPr>
          <w:sz w:val="24"/>
          <w:szCs w:val="24"/>
        </w:rPr>
        <w:t xml:space="preserve">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1"/>
          <w:numId w:val="1"/>
        </w:numPr>
        <w:contextualSpacing/>
        <w:ind w:left="0"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вправе передавать информацию о факте заключения настоящего Договора, а также о сделках и соглашениях, согласно которым заключен настоящий Договор, партнерам, клиентам и иным лицам при условии подписания с указанн</w:t>
      </w:r>
      <w:r>
        <w:rPr>
          <w:sz w:val="24"/>
          <w:szCs w:val="24"/>
        </w:rPr>
        <w:t xml:space="preserve">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содержаться в настоящем Договоре.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1"/>
          <w:numId w:val="1"/>
        </w:numPr>
        <w:contextualSpacing/>
        <w:ind w:left="0"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Сторонами обязательств, предусм</w:t>
      </w:r>
      <w:r>
        <w:rPr>
          <w:sz w:val="24"/>
          <w:szCs w:val="24"/>
        </w:rPr>
        <w:t xml:space="preserve">отренных настоящим разделом, Сторона, допустившее такое нарушение, обязуется возместить все причиненные этим убытки, в том числе упущенную выгоду, в течение 5 (пяти) рабочих дней после получения соответствующего письменного требования пострадавшей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0"/>
          <w:numId w:val="1"/>
        </w:numPr>
        <w:jc w:val="center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разрешения споров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85"/>
        <w:ind w:left="360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87"/>
        <w:contextualSpacing/>
        <w:ind w:firstLine="709"/>
        <w:jc w:val="both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13.1. Стороны будут стремиться урегулировать возникшие разногласия путем переговоров.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ind w:left="360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13.2. В случае невозможности урегулирования споров и разногласий путем переговоров, все споры, разногласия, претензии и требован</w:t>
      </w:r>
      <w:r>
        <w:rPr>
          <w:sz w:val="24"/>
          <w:szCs w:val="24"/>
        </w:rPr>
        <w:t xml:space="preserve">ия, возникающие из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>
        <w:rPr>
          <w:iCs/>
          <w:sz w:val="24"/>
          <w:szCs w:val="24"/>
        </w:rPr>
        <w:t xml:space="preserve">по месту нахождения истца.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87"/>
        <w:contextualSpacing/>
        <w:ind w:firstLine="709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7"/>
        <w:contextualSpacing/>
        <w:ind w:firstLine="709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Лицензиат: </w:t>
      </w:r>
      <w:r>
        <w:rPr>
          <w:sz w:val="24"/>
          <w:szCs w:val="24"/>
        </w:rPr>
        <w:t xml:space="preserve">_________________</w:t>
      </w:r>
      <w:r>
        <w:rPr>
          <w:sz w:val="24"/>
          <w:szCs w:val="24"/>
        </w:rPr>
      </w:r>
    </w:p>
    <w:p>
      <w:pPr>
        <w:pStyle w:val="1087"/>
        <w:contextualSpacing/>
        <w:ind w:firstLine="709"/>
        <w:spacing w:after="0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Сублицензиат: ____________________</w:t>
      </w:r>
      <w:r>
        <w:rPr>
          <w:rStyle w:val="1122"/>
          <w:sz w:val="24"/>
          <w:szCs w:val="24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rStyle w:val="1122"/>
          <w:sz w:val="24"/>
          <w:szCs w:val="24"/>
        </w:rPr>
      </w:r>
    </w:p>
    <w:p>
      <w:pPr>
        <w:pStyle w:val="1087"/>
        <w:contextualSpacing/>
        <w:ind w:firstLine="709"/>
        <w:spacing w:after="0"/>
        <w:rPr>
          <w:rStyle w:val="1122"/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85"/>
        <w:numPr>
          <w:ilvl w:val="0"/>
          <w:numId w:val="1"/>
        </w:numPr>
        <w:contextualSpacing/>
        <w:jc w:val="center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Заключительные положения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1"/>
          <w:numId w:val="1"/>
        </w:numPr>
        <w:contextualSpacing/>
        <w:ind w:left="0"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Любые изменения и дополнения к настоящему Договору действительны при условии, если они совершены в письменной форме в виде Дополнительных соглашений и подписаны Сторонами или надлежаще уполномоченными на то представителями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1"/>
          <w:numId w:val="1"/>
        </w:numPr>
        <w:contextualSpacing/>
        <w:ind w:left="0"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уведомления и сообщения должны направляться в письменной форме.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1"/>
          <w:numId w:val="1"/>
        </w:numPr>
        <w:contextualSpacing/>
        <w:ind w:left="0"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1"/>
          <w:numId w:val="1"/>
        </w:numPr>
        <w:contextualSpacing/>
        <w:ind w:left="0"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в двух идентичных экземплярах, имеющих равную юридическую силу, из которых один находится у Лицензиата, второй – у Сублицензиата.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eastAsia="ko-KR"/>
        </w:rPr>
        <w:tab/>
        <w:t xml:space="preserve">Договор может быть подписан с использованием усиленной квалифицированной электронной цифровой подписи, и может быть получен сторонами в системе электронного документооборота «</w:t>
      </w:r>
      <w:r>
        <w:rPr>
          <w:rFonts w:eastAsia="Batang"/>
          <w:sz w:val="24"/>
          <w:szCs w:val="24"/>
          <w:lang w:eastAsia="ko-KR"/>
        </w:rPr>
        <w:t xml:space="preserve">Диадок</w:t>
      </w:r>
      <w:r>
        <w:rPr>
          <w:rFonts w:eastAsia="Batang"/>
          <w:sz w:val="24"/>
          <w:szCs w:val="24"/>
          <w:lang w:eastAsia="ko-KR"/>
        </w:rPr>
        <w:t xml:space="preserve">» (</w:t>
      </w:r>
      <w:r>
        <w:rPr>
          <w:color w:val="000000" w:themeColor="text1"/>
          <w:sz w:val="24"/>
          <w:szCs w:val="24"/>
        </w:rPr>
        <w:t xml:space="preserve">либо в другой программе ЭВМ уполномоченного оператора электронного документооборота (организации федерального уровня, зарегистрированной в ФНС России), предназначенной для обмена электронными документами).</w:t>
      </w:r>
      <w:r>
        <w:rPr>
          <w:rFonts w:eastAsia="Batang"/>
          <w:sz w:val="24"/>
          <w:szCs w:val="24"/>
          <w:lang w:eastAsia="ko-KR"/>
        </w:rPr>
        <w:t xml:space="preserve"> Информация в электронной форме, подписанная квалифицированной электронной подписью, признается электр</w:t>
      </w:r>
      <w:r>
        <w:rPr>
          <w:rFonts w:eastAsia="Batang"/>
          <w:sz w:val="24"/>
          <w:szCs w:val="24"/>
          <w:lang w:eastAsia="ko-KR"/>
        </w:rPr>
        <w:t xml:space="preserve">онным документом, равнозначным документу на бумажном носителе, подписанному собственноручной подписью. Документы, переданные средствами электронной связи, имеют юридическую силу, если они соответствуют Федеральному закону № 63-ФЗ «Об электронной подписи». </w:t>
      </w:r>
      <w:r>
        <w:rPr>
          <w:sz w:val="24"/>
          <w:szCs w:val="24"/>
        </w:rPr>
        <w:t xml:space="preserve">В случае подписания договора в системе ЭДО, оригинал настоящего Договора в виде одного или нескольких электронных документов хранится на сервере системы с возможностью доступа к электронному документу обеих Сторон.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ind w:left="0" w:firstLine="709"/>
        <w:jc w:val="both"/>
        <w:tabs>
          <w:tab w:val="left" w:pos="14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0"/>
          <w:numId w:val="1"/>
        </w:numPr>
        <w:jc w:val="center"/>
        <w:widowControl w:val="off"/>
        <w:tabs>
          <w:tab w:val="left" w:pos="142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Приложения к Договору: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14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 «Спецификация».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№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«Форма по раскрытию информации в отношении всей цепочки собственников, включая бенефициаров (в том числе, конечных)».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№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«О гарантиях безопасности программного обеспечения»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87"/>
        <w:numPr>
          <w:ilvl w:val="0"/>
          <w:numId w:val="1"/>
        </w:numPr>
        <w:ind w:left="0" w:firstLine="567"/>
        <w:jc w:val="center"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Реквизиты и подписи 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87"/>
        <w:ind w:left="567"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1034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103"/>
        <w:gridCol w:w="5245"/>
      </w:tblGrid>
      <w:tr>
        <w:tblPrEx/>
        <w:trPr>
          <w:trHeight w:val="2277"/>
        </w:trPr>
        <w:tc>
          <w:tcPr>
            <w:tcW w:w="5103" w:type="dxa"/>
            <w:textDirection w:val="lrTb"/>
            <w:noWrap w:val="false"/>
          </w:tcPr>
          <w:p>
            <w:pPr>
              <w:pStyle w:val="1083"/>
              <w:ind w:right="317"/>
              <w:spacing w:line="254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Лицензиат</w:t>
            </w: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1083"/>
              <w:jc w:val="both"/>
              <w:spacing w:line="254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Сублицензиат</w:t>
            </w: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ООО «Интер РАО - Инжиниринг»</w:t>
            </w:r>
            <w:r>
              <w:rPr>
                <w:b/>
                <w:sz w:val="24"/>
                <w:szCs w:val="24"/>
                <w:lang w:eastAsia="en-US"/>
              </w:rPr>
            </w:r>
            <w:r>
              <w:rPr>
                <w:b/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ИНН 5036101347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ОГРН 1095074008545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Юридический адрес: </w:t>
            </w:r>
            <w:r>
              <w:rPr>
                <w:bCs/>
                <w:sz w:val="24"/>
                <w:szCs w:val="24"/>
                <w:lang w:eastAsia="en-US"/>
              </w:rPr>
              <w:t xml:space="preserve">119435, г. Москва,</w:t>
            </w:r>
            <w:r>
              <w:rPr>
                <w:bCs/>
                <w:sz w:val="24"/>
                <w:szCs w:val="24"/>
                <w:lang w:eastAsia="en-US"/>
              </w:rPr>
            </w:r>
            <w:r>
              <w:rPr>
                <w:bCs/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ул. Большая Пироговская, д. 27, строение 4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телефон: </w:t>
            </w:r>
            <w:r>
              <w:rPr>
                <w:bCs/>
                <w:sz w:val="24"/>
                <w:szCs w:val="24"/>
                <w:lang w:eastAsia="en-US"/>
              </w:rPr>
              <w:t xml:space="preserve">+7 (495) 664-88-40</w:t>
            </w:r>
            <w:r>
              <w:rPr>
                <w:bCs/>
                <w:sz w:val="24"/>
                <w:szCs w:val="24"/>
                <w:lang w:eastAsia="en-US"/>
              </w:rPr>
            </w:r>
            <w:r>
              <w:rPr>
                <w:bCs/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rStyle w:val="1122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 xml:space="preserve">e</w:t>
            </w:r>
            <w:r>
              <w:rPr>
                <w:sz w:val="24"/>
                <w:szCs w:val="24"/>
                <w:lang w:eastAsia="en-US"/>
              </w:rPr>
              <w:t xml:space="preserve">-</w:t>
            </w:r>
            <w:r>
              <w:rPr>
                <w:sz w:val="24"/>
                <w:szCs w:val="24"/>
                <w:lang w:val="en-US" w:eastAsia="en-US"/>
              </w:rPr>
              <w:t xml:space="preserve">mail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  <w:hyperlink r:id="rId13" w:tooltip="http://irao-e@interrao.ru" w:history="1">
              <w:r>
                <w:rPr>
                  <w:rStyle w:val="1122"/>
                  <w:sz w:val="24"/>
                  <w:szCs w:val="24"/>
                  <w:lang w:val="en-US" w:eastAsia="en-US"/>
                </w:rPr>
                <w:t xml:space="preserve">irao</w:t>
              </w:r>
              <w:r>
                <w:rPr>
                  <w:rStyle w:val="1122"/>
                  <w:sz w:val="24"/>
                  <w:szCs w:val="24"/>
                  <w:lang w:eastAsia="en-US"/>
                </w:rPr>
                <w:t xml:space="preserve">-</w:t>
              </w:r>
              <w:r>
                <w:rPr>
                  <w:rStyle w:val="1122"/>
                  <w:sz w:val="24"/>
                  <w:szCs w:val="24"/>
                  <w:lang w:val="en-US" w:eastAsia="en-US"/>
                </w:rPr>
                <w:t xml:space="preserve">e</w:t>
              </w:r>
              <w:r>
                <w:rPr>
                  <w:rStyle w:val="1122"/>
                  <w:sz w:val="24"/>
                  <w:szCs w:val="24"/>
                  <w:lang w:eastAsia="en-US"/>
                </w:rPr>
                <w:t xml:space="preserve">@</w:t>
              </w:r>
              <w:r>
                <w:rPr>
                  <w:rStyle w:val="1122"/>
                  <w:sz w:val="24"/>
                  <w:szCs w:val="24"/>
                  <w:lang w:val="en-US" w:eastAsia="en-US"/>
                </w:rPr>
                <w:t xml:space="preserve">interrao</w:t>
              </w:r>
              <w:r>
                <w:rPr>
                  <w:rStyle w:val="1122"/>
                  <w:sz w:val="24"/>
                  <w:szCs w:val="24"/>
                  <w:lang w:eastAsia="en-US"/>
                </w:rPr>
                <w:t xml:space="preserve">.</w:t>
              </w:r>
              <w:r>
                <w:rPr>
                  <w:rStyle w:val="1122"/>
                  <w:sz w:val="24"/>
                  <w:szCs w:val="24"/>
                  <w:lang w:val="en-US" w:eastAsia="en-US"/>
                </w:rPr>
                <w:t xml:space="preserve">ru</w:t>
              </w:r>
            </w:hyperlink>
            <w:r>
              <w:rPr>
                <w:rStyle w:val="1122"/>
                <w:sz w:val="24"/>
                <w:szCs w:val="24"/>
                <w:lang w:eastAsia="en-US"/>
              </w:rPr>
            </w:r>
            <w:r>
              <w:rPr>
                <w:rStyle w:val="1122"/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Банковские реквизиты: 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р/с 40702810692000004017</w:t>
            </w:r>
            <w:r>
              <w:rPr>
                <w:bCs/>
                <w:sz w:val="24"/>
                <w:szCs w:val="24"/>
                <w:lang w:eastAsia="en-US"/>
              </w:rPr>
            </w:r>
            <w:r>
              <w:rPr>
                <w:bCs/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в Банк ГПБ АО г. Москва</w:t>
            </w:r>
            <w:r>
              <w:rPr>
                <w:bCs/>
                <w:sz w:val="24"/>
                <w:szCs w:val="24"/>
                <w:lang w:eastAsia="en-US"/>
              </w:rPr>
            </w:r>
            <w:r>
              <w:rPr>
                <w:bCs/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к/с 30101810200000000823</w:t>
            </w:r>
            <w:r>
              <w:rPr>
                <w:bCs/>
                <w:sz w:val="24"/>
                <w:szCs w:val="24"/>
                <w:lang w:eastAsia="en-US"/>
              </w:rPr>
            </w:r>
            <w:r>
              <w:rPr>
                <w:bCs/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БИК 044525823  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tbl>
            <w:tblPr>
              <w:tblW w:w="0" w:type="dxa"/>
              <w:tblLayout w:type="fixed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2066"/>
              <w:gridCol w:w="5938"/>
              <w:gridCol w:w="5938"/>
            </w:tblGrid>
            <w:tr>
              <w:tblPrEx/>
              <w:trPr>
                <w:trHeight w:val="402"/>
              </w:trPr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066" w:type="dxa"/>
                  <w:textDirection w:val="lrTb"/>
                  <w:noWrap w:val="false"/>
                </w:tcPr>
                <w:p>
                  <w:pPr>
                    <w:pStyle w:val="1104"/>
                    <w:ind w:right="116"/>
                    <w:jc w:val="right"/>
                    <w:spacing w:after="0" w:line="254" w:lineRule="auto"/>
                    <w:widowControl w:val="off"/>
                    <w:rPr>
                      <w:rFonts w:ascii="Times New Roman" w:hAnsi="Times New Roman" w:cs="Times New Roman"/>
                      <w:b w:val="0"/>
                      <w:bCs w:val="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bCs w:val="0"/>
                      <w:lang w:eastAsia="en-US"/>
                    </w:rPr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lang w:eastAsia="en-US"/>
                    </w:rPr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lang w:eastAsia="en-US"/>
                    </w:rPr>
                  </w:r>
                </w:p>
              </w:tc>
              <w:tc>
                <w:tcPr>
                  <w:tcW w:w="5938" w:type="dxa"/>
                  <w:textDirection w:val="lrTb"/>
                  <w:noWrap w:val="false"/>
                </w:tcPr>
                <w:p>
                  <w:pPr>
                    <w:pStyle w:val="1104"/>
                    <w:ind w:right="116" w:firstLine="0"/>
                    <w:spacing w:after="0" w:line="254" w:lineRule="auto"/>
                    <w:widowControl w:val="off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</w:r>
                  <w:r>
                    <w:rPr>
                      <w:rFonts w:ascii="Times New Roman" w:hAnsi="Times New Roman" w:cs="Times New Roman"/>
                      <w:lang w:eastAsia="en-US"/>
                    </w:rPr>
                  </w:r>
                  <w:r>
                    <w:rPr>
                      <w:rFonts w:ascii="Times New Roman" w:hAnsi="Times New Roman" w:cs="Times New Roman"/>
                      <w:lang w:eastAsia="en-US"/>
                    </w:rPr>
                  </w:r>
                </w:p>
              </w:tc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938" w:type="dxa"/>
                  <w:textDirection w:val="lrTb"/>
                  <w:noWrap w:val="false"/>
                </w:tcPr>
                <w:p>
                  <w:pPr>
                    <w:pStyle w:val="1104"/>
                    <w:ind w:right="116" w:firstLine="0"/>
                    <w:spacing w:after="0" w:line="254" w:lineRule="auto"/>
                    <w:widowControl w:val="off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</w:r>
                  <w:r>
                    <w:rPr>
                      <w:rFonts w:ascii="Times New Roman" w:hAnsi="Times New Roman" w:cs="Times New Roman"/>
                      <w:lang w:eastAsia="en-US"/>
                    </w:rPr>
                  </w:r>
                  <w:r>
                    <w:rPr>
                      <w:rFonts w:ascii="Times New Roman" w:hAnsi="Times New Roman" w:cs="Times New Roman"/>
                      <w:lang w:eastAsia="en-US"/>
                    </w:rPr>
                  </w:r>
                </w:p>
              </w:tc>
            </w:tr>
          </w:tbl>
          <w:p>
            <w:pPr>
              <w:spacing w:line="25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</w:r>
          </w:p>
        </w:tc>
      </w:tr>
    </w:tbl>
    <w:p>
      <w:pPr>
        <w:pStyle w:val="899"/>
        <w:ind w:firstLine="540"/>
        <w:keepNext w:val="0"/>
        <w:spacing w:before="0" w:after="0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9"/>
        <w:jc w:val="center"/>
        <w:keepNext w:val="0"/>
        <w:spacing w:before="0" w:after="0"/>
        <w:widowControl w:val="off"/>
        <w:tabs>
          <w:tab w:val="left" w:pos="-567" w:leader="none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Подписи сторон: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widowControl w:val="off"/>
        <w:tabs>
          <w:tab w:val="left" w:pos="6705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57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103"/>
        <w:gridCol w:w="4854"/>
      </w:tblGrid>
      <w:tr>
        <w:tblPrEx/>
        <w:trPr>
          <w:trHeight w:val="80"/>
        </w:trPr>
        <w:tc>
          <w:tcPr>
            <w:tcW w:w="5103" w:type="dxa"/>
            <w:textDirection w:val="lrTb"/>
            <w:noWrap w:val="false"/>
          </w:tcPr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 </w:t>
            </w:r>
            <w:r>
              <w:rPr>
                <w:sz w:val="24"/>
                <w:szCs w:val="24"/>
              </w:rPr>
              <w:t xml:space="preserve">Лицензиат</w:t>
            </w:r>
            <w:r>
              <w:rPr>
                <w:sz w:val="24"/>
                <w:szCs w:val="24"/>
                <w:lang w:eastAsia="en-US"/>
              </w:rPr>
              <w:t xml:space="preserve">а: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 /                                    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4854" w:type="dxa"/>
            <w:textDirection w:val="lrTb"/>
            <w:noWrap w:val="false"/>
          </w:tcPr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 Сублицензиата: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 /                                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</w:tr>
    </w:tbl>
    <w:p>
      <w:pPr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3"/>
        <w:ind w:left="4678"/>
        <w:jc w:val="right"/>
        <w:widowControl w:val="off"/>
        <w:tabs>
          <w:tab w:val="left" w:pos="5580" w:leader="none"/>
        </w:tabs>
        <w:rPr>
          <w:rFonts w:ascii="Times New Roman" w:hAnsi="Times New Roman" w:cs="Times New Roman"/>
          <w:sz w:val="24"/>
          <w:szCs w:val="24"/>
        </w:rPr>
        <w:sectPr>
          <w:footerReference w:type="default" r:id="rId10"/>
          <w:footnotePr/>
          <w:endnotePr/>
          <w:type w:val="nextPage"/>
          <w:pgSz w:w="11906" w:h="16838" w:orient="portrait"/>
          <w:pgMar w:top="1134" w:right="1134" w:bottom="1134" w:left="1134" w:header="437" w:footer="720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3"/>
        <w:ind w:left="4678"/>
        <w:jc w:val="right"/>
        <w:widowControl w:val="off"/>
        <w:tabs>
          <w:tab w:val="left" w:pos="55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3"/>
        <w:ind w:left="4678"/>
        <w:jc w:val="right"/>
        <w:widowControl w:val="off"/>
        <w:tabs>
          <w:tab w:val="left" w:pos="55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Сублицензионному</w:t>
      </w:r>
      <w:r>
        <w:rPr>
          <w:rFonts w:ascii="Times New Roman" w:hAnsi="Times New Roman" w:cs="Times New Roman"/>
          <w:sz w:val="24"/>
          <w:szCs w:val="24"/>
        </w:rPr>
        <w:t xml:space="preserve"> договору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3"/>
        <w:ind w:left="4678"/>
        <w:jc w:val="right"/>
        <w:widowControl w:val="off"/>
        <w:tabs>
          <w:tab w:val="left" w:pos="55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              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95"/>
        <w:ind w:left="4678"/>
        <w:jc w:val="center"/>
        <w:widowControl w:val="off"/>
        <w:rPr>
          <w:caps/>
          <w:sz w:val="24"/>
          <w:szCs w:val="24"/>
        </w:rPr>
      </w:pPr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pStyle w:val="1095"/>
        <w:jc w:val="center"/>
        <w:widowControl w:val="off"/>
        <w:rPr>
          <w:b/>
          <w:bCs/>
          <w:caps/>
          <w:sz w:val="24"/>
          <w:szCs w:val="24"/>
        </w:rPr>
      </w:pPr>
      <w:r>
        <w:rPr>
          <w:caps/>
          <w:sz w:val="24"/>
          <w:szCs w:val="24"/>
        </w:rPr>
        <w:t xml:space="preserve">Спецификация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___________________________________________, </w:t>
      </w:r>
      <w:r>
        <w:rPr>
          <w:bCs/>
          <w:sz w:val="24"/>
          <w:szCs w:val="24"/>
        </w:rPr>
        <w:t xml:space="preserve">именуемое в дальнейшем</w:t>
      </w:r>
      <w:r>
        <w:rPr>
          <w:b/>
          <w:bCs/>
          <w:sz w:val="24"/>
          <w:szCs w:val="24"/>
        </w:rPr>
        <w:t xml:space="preserve"> «Лицензиат», </w:t>
      </w:r>
      <w:r>
        <w:rPr>
          <w:bCs/>
          <w:sz w:val="24"/>
          <w:szCs w:val="24"/>
        </w:rPr>
        <w:t xml:space="preserve">в лице директора ____________________________________</w:t>
      </w:r>
      <w:r>
        <w:rPr>
          <w:sz w:val="24"/>
          <w:szCs w:val="24"/>
        </w:rPr>
        <w:t xml:space="preserve">, с одной стороны, и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Общество с ограниченной ответственностью «Интер РАО - Инжиниринг» (ООО «Интер РАО - Инжиниринг»)</w:t>
      </w:r>
      <w:r>
        <w:rPr>
          <w:sz w:val="24"/>
          <w:szCs w:val="24"/>
        </w:rPr>
        <w:t xml:space="preserve">, именуемое в дальнейшем «</w:t>
      </w:r>
      <w:r>
        <w:rPr>
          <w:b/>
          <w:bCs/>
          <w:sz w:val="24"/>
          <w:szCs w:val="24"/>
        </w:rPr>
        <w:t xml:space="preserve">Сублицензиат</w:t>
      </w:r>
      <w:r>
        <w:rPr>
          <w:sz w:val="24"/>
          <w:szCs w:val="24"/>
        </w:rPr>
        <w:t xml:space="preserve">», в лице _____________________________________</w:t>
      </w:r>
      <w:r>
        <w:rPr>
          <w:sz w:val="24"/>
          <w:szCs w:val="24"/>
        </w:rPr>
        <w:t xml:space="preserve">, действующего на основании _________________, с другой стороны, вместе именуемые — Стороны, а каждое по отдельности — Сторона, подписали настоящую Спецификацию к Договору о нижеследующем: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Лицензиат обязуется предоставить, а Сублицензиат оплатить лицензионное вознаграждение за предоставление лицензии (</w:t>
      </w:r>
      <w:r>
        <w:rPr>
          <w:i/>
          <w:sz w:val="24"/>
          <w:szCs w:val="24"/>
        </w:rPr>
        <w:t xml:space="preserve">НДС не облагается на основании пп.26 п.2 ст.149 Налогового Кодекса Российской Федерации</w:t>
      </w:r>
      <w:r>
        <w:rPr>
          <w:sz w:val="24"/>
          <w:szCs w:val="24"/>
        </w:rPr>
        <w:t xml:space="preserve">):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491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417"/>
        <w:gridCol w:w="4281"/>
        <w:gridCol w:w="851"/>
        <w:gridCol w:w="1559"/>
        <w:gridCol w:w="1701"/>
        <w:gridCol w:w="1276"/>
        <w:gridCol w:w="1701"/>
        <w:gridCol w:w="1701"/>
      </w:tblGrid>
      <w:tr>
        <w:tblPrEx/>
        <w:trPr>
          <w:cantSplit/>
          <w:tblHeader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pStyle w:val="1099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99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Парт-номер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4281" w:type="dxa"/>
            <w:vAlign w:val="center"/>
            <w:textDirection w:val="lrTb"/>
            <w:noWrap w:val="false"/>
          </w:tcPr>
          <w:p>
            <w:pPr>
              <w:pStyle w:val="1099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1099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Кол-во лицензий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099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руб.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99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стоимость, руб.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1099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предоставления прав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99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Номер в едином реестре российских программ для ЭВМ и баз данных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99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действия права на использование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cantSplit/>
          <w:trHeight w:val="183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ffffff"/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r/>
            <w:r/>
          </w:p>
        </w:tc>
        <w:tc>
          <w:tcPr>
            <w:tcW w:w="428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r/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  <w:trHeight w:val="245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ffffff"/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r/>
            <w:r/>
          </w:p>
        </w:tc>
        <w:tc>
          <w:tcPr>
            <w:tcW w:w="428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r/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  <w:trHeight w:val="273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r/>
            <w:r/>
          </w:p>
        </w:tc>
        <w:tc>
          <w:tcPr>
            <w:tcW w:w="428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r/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  <w:trHeight w:val="273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r/>
            <w:r/>
          </w:p>
        </w:tc>
        <w:tc>
          <w:tcPr>
            <w:tcW w:w="428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r/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  <w:trHeight w:val="265"/>
        </w:trPr>
        <w:tc>
          <w:tcPr>
            <w:gridSpan w:val="8"/>
            <w:tcW w:w="13212" w:type="dxa"/>
            <w:vAlign w:val="center"/>
            <w:textDirection w:val="lrTb"/>
            <w:noWrap w:val="false"/>
          </w:tcPr>
          <w:p>
            <w:pPr>
              <w:jc w:val="right"/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ИТОГО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r>
              <w:t xml:space="preserve">    </w:t>
            </w:r>
            <w:r/>
          </w:p>
        </w:tc>
      </w:tr>
    </w:tbl>
    <w:p>
      <w:r/>
      <w:r/>
    </w:p>
    <w:p>
      <w:pPr>
        <w:pStyle w:val="899"/>
        <w:jc w:val="center"/>
        <w:keepNext w:val="0"/>
        <w:spacing w:before="0" w:after="0"/>
        <w:widowControl w:val="off"/>
        <w:tabs>
          <w:tab w:val="left" w:pos="-567" w:leader="none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Подписи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сторон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widowControl w:val="off"/>
        <w:tabs>
          <w:tab w:val="left" w:pos="6705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4257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6927"/>
        <w:gridCol w:w="7330"/>
      </w:tblGrid>
      <w:tr>
        <w:tblPrEx/>
        <w:trPr>
          <w:trHeight w:val="87"/>
        </w:trPr>
        <w:tc>
          <w:tcPr>
            <w:tcW w:w="6927" w:type="dxa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Лицензиата: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____________________/_______________________/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30" w:type="dxa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Сублицензиата: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 /___________________ 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pacing w:after="200" w:line="276" w:lineRule="auto"/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1134" w:bottom="1134" w:left="1134" w:header="437" w:footer="720" w:gutter="0"/>
          <w:cols w:num="1" w:sep="0" w:space="720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right"/>
        <w:rPr>
          <w:sz w:val="24"/>
          <w:szCs w:val="24"/>
        </w:rPr>
        <w:outlineLvl w:val="0"/>
      </w:pPr>
      <w:r>
        <w:rPr>
          <w:sz w:val="24"/>
          <w:szCs w:val="24"/>
        </w:rPr>
        <w:t xml:space="preserve">Приложение №2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3"/>
        <w:ind w:left="6096"/>
        <w:jc w:val="right"/>
        <w:tabs>
          <w:tab w:val="left" w:pos="55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Сублицензионному</w:t>
      </w:r>
      <w:r>
        <w:rPr>
          <w:rFonts w:ascii="Times New Roman" w:hAnsi="Times New Roman" w:cs="Times New Roman"/>
          <w:sz w:val="24"/>
          <w:szCs w:val="24"/>
        </w:rPr>
        <w:t xml:space="preserve"> договору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3"/>
        <w:ind w:left="6096"/>
        <w:jc w:val="right"/>
        <w:tabs>
          <w:tab w:val="left" w:pos="55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tabs>
          <w:tab w:val="center" w:pos="4677" w:leader="none"/>
          <w:tab w:val="right" w:pos="9355" w:leader="none"/>
        </w:tabs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eastAsia="zh-CN"/>
        </w:rPr>
        <w:t xml:space="preserve">Форма по раскрытию информации в отношении всей цепочки собственников,</w:t>
      </w:r>
      <w:r>
        <w:rPr>
          <w:b/>
          <w:bCs/>
          <w:sz w:val="24"/>
          <w:szCs w:val="24"/>
          <w:lang w:eastAsia="zh-CN"/>
        </w:rPr>
      </w:r>
      <w:r>
        <w:rPr>
          <w:b/>
          <w:bCs/>
          <w:sz w:val="24"/>
          <w:szCs w:val="24"/>
          <w:lang w:eastAsia="zh-CN"/>
        </w:rPr>
      </w:r>
    </w:p>
    <w:p>
      <w:pPr>
        <w:jc w:val="center"/>
        <w:tabs>
          <w:tab w:val="center" w:pos="4677" w:leader="none"/>
          <w:tab w:val="right" w:pos="9355" w:leader="none"/>
        </w:tabs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включая бенефициаров (в том числе, конечных)</w:t>
      </w:r>
      <w:r>
        <w:rPr>
          <w:b/>
          <w:bCs/>
          <w:sz w:val="24"/>
          <w:szCs w:val="24"/>
          <w:lang w:eastAsia="zh-CN"/>
        </w:rPr>
      </w:r>
      <w:r>
        <w:rPr>
          <w:b/>
          <w:bCs/>
          <w:sz w:val="24"/>
          <w:szCs w:val="24"/>
          <w:lang w:eastAsia="zh-CN"/>
        </w:rPr>
      </w:r>
    </w:p>
    <w:p>
      <w:pPr>
        <w:jc w:val="center"/>
        <w:tabs>
          <w:tab w:val="center" w:pos="4677" w:leader="none"/>
          <w:tab w:val="right" w:pos="9355" w:leader="none"/>
        </w:tabs>
        <w:rPr>
          <w:i/>
          <w:iCs/>
          <w:sz w:val="24"/>
          <w:szCs w:val="24"/>
          <w:lang w:eastAsia="zh-CN"/>
        </w:rPr>
      </w:pPr>
      <w:r>
        <w:rPr>
          <w:i/>
          <w:iCs/>
          <w:sz w:val="24"/>
          <w:szCs w:val="24"/>
          <w:lang w:eastAsia="zh-CN"/>
        </w:rPr>
        <w:t xml:space="preserve">Организационно-правовая форма (полностью) «Наименование контрагента»</w:t>
      </w:r>
      <w:r>
        <w:rPr>
          <w:i/>
          <w:iCs/>
          <w:sz w:val="24"/>
          <w:szCs w:val="24"/>
          <w:lang w:eastAsia="zh-CN"/>
        </w:rPr>
      </w:r>
      <w:r>
        <w:rPr>
          <w:i/>
          <w:iCs/>
          <w:sz w:val="24"/>
          <w:szCs w:val="24"/>
          <w:lang w:eastAsia="zh-CN"/>
        </w:rPr>
      </w:r>
    </w:p>
    <w:p>
      <w:pPr>
        <w:jc w:val="right"/>
        <w:tabs>
          <w:tab w:val="center" w:pos="4677" w:leader="none"/>
          <w:tab w:val="right" w:pos="9355" w:leader="none"/>
        </w:tabs>
        <w:rPr>
          <w:i/>
          <w:iCs/>
          <w:sz w:val="24"/>
          <w:szCs w:val="24"/>
        </w:rPr>
      </w:pPr>
      <w:r>
        <w:rPr>
          <w:i/>
          <w:iCs/>
          <w:sz w:val="24"/>
          <w:szCs w:val="24"/>
          <w:lang w:eastAsia="zh-CN"/>
        </w:rPr>
        <w:t xml:space="preserve">Дата заполнения число / месяц/ год</w:t>
      </w: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</w:p>
    <w:tbl>
      <w:tblPr>
        <w:tblpPr w:horzAnchor="margin" w:tblpX="108" w:vertAnchor="text" w:tblpY="86" w:leftFromText="180" w:topFromText="0" w:rightFromText="180" w:bottomFromText="160"/>
        <w:tblW w:w="0" w:type="dxa"/>
        <w:tblLayout w:type="fixed"/>
        <w:tblLook w:val="00A0" w:firstRow="1" w:lastRow="0" w:firstColumn="1" w:lastColumn="0" w:noHBand="0" w:noVBand="0"/>
      </w:tblPr>
      <w:tblGrid>
        <w:gridCol w:w="532"/>
        <w:gridCol w:w="565"/>
        <w:gridCol w:w="706"/>
        <w:gridCol w:w="1276"/>
        <w:gridCol w:w="851"/>
        <w:gridCol w:w="1275"/>
        <w:gridCol w:w="9"/>
        <w:gridCol w:w="1554"/>
        <w:gridCol w:w="428"/>
        <w:gridCol w:w="13"/>
        <w:gridCol w:w="656"/>
        <w:gridCol w:w="34"/>
        <w:gridCol w:w="711"/>
        <w:gridCol w:w="996"/>
        <w:gridCol w:w="708"/>
        <w:gridCol w:w="1560"/>
        <w:gridCol w:w="1275"/>
        <w:gridCol w:w="1843"/>
      </w:tblGrid>
      <w:tr>
        <w:tblPrEx/>
        <w:trPr>
          <w:trHeight w:val="70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№ п/п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gridSpan w:val="7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6" w:type="dxa"/>
            <w:vAlign w:val="bottom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Наименование контрагента (ИНН, вид деятельности)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gridSpan w:val="10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224" w:type="dxa"/>
            <w:vAlign w:val="bottom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Информация о цепочке собственников, включая бенефициаров (в том числе конечных)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1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2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ИНН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6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ОГРН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Наименование краткое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Код ОКВЭД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Фамилия, Имя, Отчество руководителя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gridSpan w:val="2"/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3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Серия и номер документа удостоверяющего личность руководителя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8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№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gridSpan w:val="2"/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69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ИНН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gridSpan w:val="2"/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5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ОГРН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6" w:type="dxa"/>
            <w:vAlign w:val="center"/>
            <w:textDirection w:val="lrTb"/>
            <w:noWrap w:val="false"/>
          </w:tcPr>
          <w:p>
            <w:pPr>
              <w:ind w:left="-108" w:right="-138"/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Наименова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  <w:p>
            <w:pPr>
              <w:ind w:left="-108" w:right="-138"/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ние</w:t>
            </w:r>
            <w:r>
              <w:rPr>
                <w:color w:val="000000"/>
                <w:sz w:val="18"/>
                <w:szCs w:val="18"/>
                <w:lang w:eastAsia="en-US"/>
              </w:rPr>
              <w:t xml:space="preserve"> / ФИО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Адрес регистра </w:t>
            </w:r>
            <w:r>
              <w:rPr>
                <w:color w:val="000000"/>
                <w:sz w:val="18"/>
                <w:szCs w:val="18"/>
                <w:lang w:eastAsia="en-US"/>
              </w:rPr>
              <w:t xml:space="preserve">ции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Серия и номер документа удостоверяющего личность руководителя (для физических лиц)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Руководитель/участник/бенефициар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Информация о подтверждающих документов (наименование, номера и </w:t>
            </w:r>
            <w:r>
              <w:rPr>
                <w:color w:val="000000"/>
                <w:sz w:val="18"/>
                <w:szCs w:val="18"/>
                <w:lang w:eastAsia="en-US"/>
              </w:rPr>
              <w:t xml:space="preserve">тд</w:t>
            </w:r>
            <w:r>
              <w:rPr>
                <w:color w:val="000000"/>
                <w:sz w:val="18"/>
                <w:szCs w:val="18"/>
                <w:lang w:eastAsia="en-US"/>
              </w:rPr>
              <w:t xml:space="preserve">)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bfbfb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2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1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5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2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6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3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4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5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gridSpan w:val="2"/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84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6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4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7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gridSpan w:val="2"/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1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8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gridSpan w:val="2"/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90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9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10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6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11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12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13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14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15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2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5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6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84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4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1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90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6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</w:tr>
    </w:tbl>
    <w:p>
      <w:pPr>
        <w:pStyle w:val="1085"/>
        <w:numPr>
          <w:ilvl w:val="0"/>
          <w:numId w:val="3"/>
        </w:numPr>
        <w:ind w:left="0" w:firstLine="709"/>
        <w:jc w:val="both"/>
        <w:widowControl w:val="off"/>
        <w:tabs>
          <w:tab w:val="center" w:pos="1134" w:leader="none"/>
          <w:tab w:val="right" w:pos="9355" w:leader="none"/>
        </w:tabs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 xml:space="preserve">Лицензиат гарантирует Сублицензиату, что сведения и документы в отношении всей цепочки собственников и руководителей, включая бенефициаров (в том числе конечных), передаваемые Сублицензиату, являются полными, точными и достоверными.</w:t>
      </w:r>
      <w:r>
        <w:rPr>
          <w:sz w:val="18"/>
          <w:szCs w:val="18"/>
          <w:lang w:eastAsia="en-US"/>
        </w:rPr>
      </w:r>
      <w:r>
        <w:rPr>
          <w:sz w:val="18"/>
          <w:szCs w:val="18"/>
          <w:lang w:eastAsia="en-US"/>
        </w:rPr>
      </w:r>
    </w:p>
    <w:p>
      <w:pPr>
        <w:pStyle w:val="1085"/>
        <w:numPr>
          <w:ilvl w:val="0"/>
          <w:numId w:val="3"/>
        </w:numPr>
        <w:ind w:left="0" w:firstLine="709"/>
        <w:jc w:val="both"/>
        <w:widowControl w:val="off"/>
        <w:tabs>
          <w:tab w:val="center" w:pos="1134" w:leader="none"/>
          <w:tab w:val="right" w:pos="9355" w:leader="none"/>
        </w:tabs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 xml:space="preserve">Лицензиат настоящим выдает согласие и подтверждает получение им всех требуемых в соответствии с действующим законодательством РФ (в том ч</w:t>
      </w:r>
      <w:r>
        <w:rPr>
          <w:sz w:val="18"/>
          <w:szCs w:val="18"/>
          <w:lang w:eastAsia="en-US"/>
        </w:rPr>
        <w:t xml:space="preserve">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Сублицензиатом полностью или частично предоставленных сведений компетентным органам </w:t>
      </w:r>
      <w:r>
        <w:rPr>
          <w:sz w:val="18"/>
          <w:szCs w:val="18"/>
          <w:lang w:eastAsia="en-US"/>
        </w:rPr>
        <w:t xml:space="preserve">государственной власти (в том числе, но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Лицензиат настоящим освобождает Сублицен</w:t>
      </w:r>
      <w:r>
        <w:rPr>
          <w:sz w:val="18"/>
          <w:szCs w:val="18"/>
          <w:lang w:eastAsia="en-US"/>
        </w:rPr>
        <w:t xml:space="preserve">зиата от любой ответственности в связи с Раскрытием, в том числе возмещает Сублицензиату убытки, понесенные в связи с предъявлением Сублицензиату претензий, исков и требований любыми третьими лицами, чьи права были или могли быть нарушены таким Раскрытием.</w:t>
      </w:r>
      <w:r>
        <w:rPr>
          <w:sz w:val="18"/>
          <w:szCs w:val="18"/>
          <w:lang w:eastAsia="en-US"/>
        </w:rPr>
      </w:r>
      <w:r>
        <w:rPr>
          <w:sz w:val="18"/>
          <w:szCs w:val="18"/>
          <w:lang w:eastAsia="en-US"/>
        </w:rPr>
      </w:r>
    </w:p>
    <w:tbl>
      <w:tblPr>
        <w:tblpPr w:horzAnchor="margin" w:tblpXSpec="left" w:vertAnchor="text" w:tblpY="86" w:leftFromText="180" w:topFromText="0" w:rightFromText="180" w:bottomFromText="160"/>
        <w:tblW w:w="14457" w:type="dxa"/>
        <w:tblLayout w:type="fixed"/>
        <w:tblLook w:val="00A0" w:firstRow="1" w:lastRow="0" w:firstColumn="1" w:lastColumn="0" w:noHBand="0" w:noVBand="0"/>
      </w:tblPr>
      <w:tblGrid>
        <w:gridCol w:w="14457"/>
      </w:tblGrid>
      <w:tr>
        <w:tblPrEx/>
        <w:trPr>
          <w:trHeight w:val="427"/>
        </w:trPr>
        <w:tc>
          <w:tcPr>
            <w:tcW w:w="14457" w:type="dxa"/>
            <w:textDirection w:val="lrTb"/>
            <w:noWrap w:val="false"/>
          </w:tcPr>
          <w:p>
            <w:pPr>
              <w:spacing w:line="254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__________________________________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line="254" w:lineRule="auto"/>
              <w:widowControl w:val="off"/>
              <w:tabs>
                <w:tab w:val="left" w:pos="34" w:leader="none"/>
              </w:tabs>
              <w:rPr>
                <w:vertAlign w:val="superscript"/>
                <w:lang w:eastAsia="en-US"/>
              </w:rPr>
            </w:pPr>
            <w:r>
              <w:rPr>
                <w:vertAlign w:val="superscript"/>
                <w:lang w:eastAsia="en-US"/>
              </w:rPr>
              <w:t xml:space="preserve">(подпись, М.П.)</w:t>
            </w:r>
            <w:r>
              <w:rPr>
                <w:vertAlign w:val="superscript"/>
                <w:lang w:eastAsia="en-US"/>
              </w:rPr>
            </w:r>
            <w:r>
              <w:rPr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14457" w:type="dxa"/>
            <w:textDirection w:val="lrTb"/>
            <w:noWrap w:val="false"/>
          </w:tcPr>
          <w:p>
            <w:pPr>
              <w:spacing w:line="254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_________________________________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line="254" w:lineRule="auto"/>
              <w:widowControl w:val="off"/>
              <w:tabs>
                <w:tab w:val="left" w:pos="4428" w:leader="none"/>
              </w:tabs>
              <w:rPr>
                <w:vertAlign w:val="superscript"/>
                <w:lang w:eastAsia="en-US"/>
              </w:rPr>
            </w:pPr>
            <w:r>
              <w:rPr>
                <w:vertAlign w:val="superscript"/>
                <w:lang w:eastAsia="en-US"/>
              </w:rPr>
              <w:t xml:space="preserve">(фамилия, имя, отчество подписавшего, должность)                          </w:t>
            </w:r>
            <w:r>
              <w:rPr>
                <w:vertAlign w:val="superscript"/>
                <w:lang w:eastAsia="en-US"/>
              </w:rPr>
            </w:r>
            <w:r>
              <w:rPr>
                <w:vertAlign w:val="superscript"/>
                <w:lang w:eastAsia="en-US"/>
              </w:rPr>
            </w:r>
          </w:p>
          <w:p>
            <w:pPr>
              <w:jc w:val="center"/>
              <w:spacing w:line="254" w:lineRule="auto"/>
              <w:widowControl w:val="off"/>
              <w:tabs>
                <w:tab w:val="left" w:pos="4428" w:leader="none"/>
              </w:tabs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</w:r>
            <w:r>
              <w:rPr>
                <w:b/>
                <w:bCs/>
                <w:sz w:val="24"/>
                <w:szCs w:val="24"/>
                <w:lang w:eastAsia="en-US"/>
              </w:rPr>
            </w:r>
            <w:r>
              <w:rPr>
                <w:b/>
                <w:bCs/>
                <w:sz w:val="24"/>
                <w:szCs w:val="24"/>
                <w:lang w:eastAsia="en-US"/>
              </w:rPr>
            </w:r>
          </w:p>
          <w:p>
            <w:pPr>
              <w:jc w:val="center"/>
              <w:spacing w:line="254" w:lineRule="auto"/>
              <w:widowControl w:val="off"/>
              <w:rPr>
                <w:vertAlign w:val="superscript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      Форму утверждаем:</w:t>
            </w:r>
            <w:r>
              <w:rPr>
                <w:vertAlign w:val="superscript"/>
                <w:lang w:eastAsia="en-US"/>
              </w:rPr>
            </w:r>
            <w:r>
              <w:rPr>
                <w:vertAlign w:val="superscript"/>
                <w:lang w:eastAsia="en-US"/>
              </w:rPr>
            </w:r>
          </w:p>
        </w:tc>
      </w:tr>
    </w:tbl>
    <w:p>
      <w:pPr>
        <w:pStyle w:val="1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632"/>
        <w:gridCol w:w="6938"/>
      </w:tblGrid>
      <w:tr>
        <w:tblPrEx/>
        <w:trPr/>
        <w:tc>
          <w:tcPr>
            <w:tcW w:w="2619" w:type="pct"/>
            <w:textDirection w:val="lrTb"/>
            <w:noWrap w:val="false"/>
          </w:tcPr>
          <w:p>
            <w:pPr>
              <w:pStyle w:val="1083"/>
              <w:jc w:val="center"/>
              <w:keepNext/>
              <w:spacing w:line="254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Лицензиата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jc w:val="center"/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_____________________ /                                           /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pStyle w:val="1083"/>
              <w:ind w:right="317"/>
              <w:jc w:val="center"/>
              <w:spacing w:line="254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М.П.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2381" w:type="pct"/>
            <w:textDirection w:val="lrTb"/>
            <w:noWrap w:val="false"/>
          </w:tcPr>
          <w:p>
            <w:pPr>
              <w:pStyle w:val="1083"/>
              <w:ind w:right="317"/>
              <w:jc w:val="center"/>
              <w:spacing w:line="254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Сублицензиата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 /                                   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М.П.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</w:tr>
    </w:tbl>
    <w:p>
      <w:pPr>
        <w:jc w:val="center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jc w:val="center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rPr>
          <w:sz w:val="16"/>
          <w:szCs w:val="16"/>
        </w:rPr>
        <w:sectPr>
          <w:headerReference w:type="default" r:id="rId9"/>
          <w:footnotePr/>
          <w:endnotePr/>
          <w:type w:val="nextPage"/>
          <w:pgSz w:w="16838" w:h="11906" w:orient="landscape"/>
          <w:pgMar w:top="1134" w:right="1134" w:bottom="1134" w:left="1134" w:header="709" w:footer="709" w:gutter="0"/>
          <w:cols w:num="1" w:sep="0" w:space="720" w:equalWidth="1"/>
          <w:docGrid w:linePitch="360"/>
        </w:sect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709"/>
        <w:jc w:val="right"/>
        <w:rPr>
          <w:sz w:val="24"/>
          <w:szCs w:val="24"/>
        </w:rPr>
        <w:outlineLvl w:val="0"/>
      </w:pPr>
      <w:r>
        <w:rPr>
          <w:sz w:val="24"/>
          <w:szCs w:val="24"/>
        </w:rPr>
        <w:t xml:space="preserve">Приложение №3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3"/>
        <w:ind w:left="6096"/>
        <w:jc w:val="right"/>
        <w:tabs>
          <w:tab w:val="left" w:pos="55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Сублицензионному</w:t>
      </w:r>
      <w:r>
        <w:rPr>
          <w:rFonts w:ascii="Times New Roman" w:hAnsi="Times New Roman" w:cs="Times New Roman"/>
          <w:sz w:val="24"/>
          <w:szCs w:val="24"/>
        </w:rPr>
        <w:t xml:space="preserve"> договору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3"/>
        <w:tabs>
          <w:tab w:val="left" w:pos="55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№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  <w:t xml:space="preserve">          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contextualSpacing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 xml:space="preserve">О гарантиях безопасности программного обеспечения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1085"/>
        <w:ind w:left="360"/>
        <w:jc w:val="both"/>
        <w:shd w:val="clear" w:color="auto" w:fill="ffffff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85"/>
        <w:numPr>
          <w:ilvl w:val="0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Лицензиат обеспечивает гарантии безопасности разрабатываемого им программного обеспечения, в том числе входящего в программно-аппаратный комплекс, а также каждого его обновления и/или модификации (далее – ПО/ПАК и обновления).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85"/>
        <w:numPr>
          <w:ilvl w:val="0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Разработка ПО/ПАК и обновлений должна осуществляться с учетом требований и рекомендаций действующих национальных стандартов</w:t>
      </w:r>
      <w:r>
        <w:rPr>
          <w:rStyle w:val="1116"/>
          <w:rFonts w:ascii="Liberation Serif" w:hAnsi="Liberation Serif" w:cs="Liberation Serif"/>
          <w:sz w:val="24"/>
          <w:szCs w:val="24"/>
        </w:rPr>
        <w:footnoteReference w:id="3"/>
      </w:r>
      <w:r>
        <w:rPr>
          <w:rFonts w:ascii="Liberation Serif" w:hAnsi="Liberation Serif" w:cs="Liberation Serif"/>
          <w:sz w:val="24"/>
          <w:szCs w:val="24"/>
        </w:rPr>
        <w:t xml:space="preserve">, а также требований ФСТЭК России</w:t>
      </w:r>
      <w:r>
        <w:rPr>
          <w:rStyle w:val="1116"/>
          <w:rFonts w:ascii="Liberation Serif" w:hAnsi="Liberation Serif" w:cs="Liberation Serif"/>
          <w:sz w:val="24"/>
          <w:szCs w:val="24"/>
        </w:rPr>
        <w:footnoteReference w:id="4"/>
      </w:r>
      <w:r>
        <w:rPr>
          <w:rFonts w:ascii="Liberation Serif" w:hAnsi="Liberation Serif" w:cs="Liberation Serif"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0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При использовании в составе ПО/ПАК заимствован</w:t>
      </w:r>
      <w:r>
        <w:rPr>
          <w:rFonts w:ascii="Liberation Serif" w:hAnsi="Liberation Serif" w:cs="Liberation Serif"/>
          <w:sz w:val="24"/>
          <w:szCs w:val="24"/>
        </w:rPr>
        <w:t xml:space="preserve">ного программного обеспечения, исходный код которого не доступен Лицензиату, а также производителю ПО/ПАК, в отношении такого программного обеспечения и обновлений к нему Лицензиатом должна обеспечиваться проверка в соответствии с требованиями ФСТЭК России</w:t>
      </w:r>
      <w:r>
        <w:rPr>
          <w:rStyle w:val="1116"/>
          <w:rFonts w:ascii="Liberation Serif" w:hAnsi="Liberation Serif" w:cs="Liberation Serif"/>
          <w:sz w:val="24"/>
          <w:szCs w:val="24"/>
        </w:rPr>
        <w:footnoteReference w:id="5"/>
      </w:r>
      <w:r>
        <w:rPr>
          <w:rFonts w:ascii="Liberation Serif" w:hAnsi="Liberation Serif" w:cs="Liberation Serif"/>
          <w:sz w:val="24"/>
          <w:szCs w:val="24"/>
        </w:rPr>
        <w:t xml:space="preserve"> до начала их использования.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85"/>
        <w:numPr>
          <w:ilvl w:val="0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Гарантии безопасности обеспечиваются за счет соблюдения принципов безопасной разработки и жизненного цикла Кода, с учетом требований и рекомендаций действующих национальных стандартов</w:t>
      </w:r>
      <w:r>
        <w:rPr>
          <w:rStyle w:val="1116"/>
          <w:rFonts w:ascii="Liberation Serif" w:hAnsi="Liberation Serif" w:cs="Liberation Serif"/>
          <w:sz w:val="24"/>
          <w:szCs w:val="24"/>
        </w:rPr>
        <w:footnoteReference w:id="6"/>
      </w:r>
      <w:r>
        <w:rPr>
          <w:rFonts w:ascii="Liberation Serif" w:hAnsi="Liberation Serif" w:cs="Liberation Serif"/>
          <w:sz w:val="24"/>
          <w:szCs w:val="24"/>
        </w:rPr>
        <w:t xml:space="preserve">, а также требований ФСТЭК России</w:t>
      </w:r>
      <w:r>
        <w:rPr>
          <w:rStyle w:val="1116"/>
          <w:rFonts w:ascii="Liberation Serif" w:hAnsi="Liberation Serif" w:cs="Liberation Serif"/>
          <w:sz w:val="24"/>
          <w:szCs w:val="24"/>
        </w:rPr>
        <w:footnoteReference w:id="7"/>
      </w:r>
      <w:r>
        <w:rPr>
          <w:rFonts w:ascii="Liberation Serif" w:hAnsi="Liberation Serif" w:cs="Liberation Serif"/>
          <w:sz w:val="24"/>
          <w:szCs w:val="24"/>
        </w:rPr>
        <w:t xml:space="preserve">, включая следующие мероприятия и процедуры: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85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статический анализ кода ПО/ПАК и обновлений на предмет наличия уязвимостей, а также </w:t>
      </w:r>
      <w:r>
        <w:rPr>
          <w:rFonts w:ascii="Liberation Serif" w:hAnsi="Liberation Serif" w:cs="Liberation Serif"/>
          <w:sz w:val="24"/>
          <w:szCs w:val="24"/>
        </w:rPr>
        <w:t xml:space="preserve">недекларированных</w:t>
      </w:r>
      <w:r>
        <w:rPr>
          <w:rFonts w:ascii="Liberation Serif" w:hAnsi="Liberation Serif" w:cs="Liberation Serif"/>
          <w:sz w:val="24"/>
          <w:szCs w:val="24"/>
        </w:rPr>
        <w:t xml:space="preserve"> возможностей и деструктивного функционала;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85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фаззинг</w:t>
      </w:r>
      <w:r>
        <w:rPr>
          <w:rFonts w:ascii="Liberation Serif" w:hAnsi="Liberation Serif" w:cs="Liberation Serif"/>
          <w:sz w:val="24"/>
          <w:szCs w:val="24"/>
        </w:rPr>
        <w:t xml:space="preserve">-тестирование</w:t>
      </w:r>
      <w:r>
        <w:rPr>
          <w:rStyle w:val="1116"/>
          <w:rFonts w:ascii="Liberation Serif" w:hAnsi="Liberation Serif" w:cs="Liberation Serif"/>
          <w:sz w:val="24"/>
          <w:szCs w:val="24"/>
        </w:rPr>
        <w:footnoteReference w:id="8"/>
      </w:r>
      <w:r>
        <w:rPr>
          <w:rFonts w:ascii="Liberation Serif" w:hAnsi="Liberation Serif" w:cs="Liberation Serif"/>
          <w:sz w:val="24"/>
          <w:szCs w:val="24"/>
        </w:rPr>
        <w:t xml:space="preserve">;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85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динамический анализ Кода на предмет наличия уязвимостей, а также </w:t>
      </w:r>
      <w:r>
        <w:rPr>
          <w:rFonts w:ascii="Liberation Serif" w:hAnsi="Liberation Serif" w:cs="Liberation Serif"/>
          <w:sz w:val="24"/>
          <w:szCs w:val="24"/>
        </w:rPr>
        <w:t xml:space="preserve">недекларированных</w:t>
      </w:r>
      <w:r>
        <w:rPr>
          <w:rFonts w:ascii="Liberation Serif" w:hAnsi="Liberation Serif" w:cs="Liberation Serif"/>
          <w:sz w:val="24"/>
          <w:szCs w:val="24"/>
        </w:rPr>
        <w:t xml:space="preserve"> возможностей и деструктивного функционала для ПО/ПАК и обновлений;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85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проверку используемых библиотек на наличие известных уязвимостей и аномалий (в том числе на отсутствие возможности автоматического обращения к репозиториям производителя/сообщества разработчиков, неподконтрольных Лицензиату, а также </w:t>
      </w:r>
      <w:r>
        <w:rPr>
          <w:rFonts w:ascii="Liberation Serif" w:hAnsi="Liberation Serif" w:cs="Liberation Serif"/>
          <w:sz w:val="24"/>
          <w:szCs w:val="24"/>
        </w:rPr>
        <w:t xml:space="preserve">недекларированных</w:t>
      </w:r>
      <w:r>
        <w:rPr>
          <w:rFonts w:ascii="Liberation Serif" w:hAnsi="Liberation Serif" w:cs="Liberation Serif"/>
          <w:sz w:val="24"/>
          <w:szCs w:val="24"/>
        </w:rPr>
        <w:t xml:space="preserve"> возможностей и деструктивного функционала;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85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фиксацию версий ПО, а также </w:t>
      </w:r>
      <w:r>
        <w:rPr>
          <w:rFonts w:ascii="Liberation Serif" w:hAnsi="Liberation Serif" w:cs="Liberation Serif"/>
          <w:sz w:val="24"/>
          <w:szCs w:val="24"/>
        </w:rPr>
        <w:t xml:space="preserve">патчей</w:t>
      </w:r>
      <w:r>
        <w:rPr>
          <w:rFonts w:ascii="Liberation Serif" w:hAnsi="Liberation Serif" w:cs="Liberation Serif"/>
          <w:sz w:val="24"/>
          <w:szCs w:val="24"/>
        </w:rPr>
        <w:t xml:space="preserve"> и обновлений безопасности, в отношении которых проведены контрольные процедуры (номер версии, дата выхода версии, контрольная сумма) для обеспечения возможности контроля целостности такого ПО/ПАК, </w:t>
      </w:r>
      <w:r>
        <w:rPr>
          <w:rFonts w:ascii="Liberation Serif" w:hAnsi="Liberation Serif" w:cs="Liberation Serif"/>
          <w:sz w:val="24"/>
          <w:szCs w:val="24"/>
        </w:rPr>
        <w:t xml:space="preserve">патчей</w:t>
      </w:r>
      <w:r>
        <w:rPr>
          <w:rFonts w:ascii="Liberation Serif" w:hAnsi="Liberation Serif" w:cs="Liberation Serif"/>
          <w:sz w:val="24"/>
          <w:szCs w:val="24"/>
        </w:rPr>
        <w:t xml:space="preserve"> или обновлений;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85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сопровождение всех изменений, обновлений и модификаций ПО: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85"/>
        <w:numPr>
          <w:ilvl w:val="2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документированным перечнем изменений, а также уязвимостей;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85"/>
        <w:numPr>
          <w:ilvl w:val="2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контрольными суммами версий/обновлений ПО;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85"/>
        <w:numPr>
          <w:ilvl w:val="2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инструкцией по безопасному обновлению (в т.ч. локальному) и возврату к предыдущей рабочей версии ПО.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85"/>
        <w:numPr>
          <w:ilvl w:val="0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Лицензиат обеспечивает наличие и доступа Сублицензиата к доверенному</w:t>
      </w:r>
      <w:r>
        <w:rPr>
          <w:rStyle w:val="1116"/>
          <w:rFonts w:ascii="Liberation Serif" w:hAnsi="Liberation Serif" w:cs="Liberation Serif"/>
          <w:sz w:val="24"/>
          <w:szCs w:val="24"/>
        </w:rPr>
        <w:footnoteReference w:id="9"/>
      </w:r>
      <w:r>
        <w:rPr>
          <w:rFonts w:ascii="Liberation Serif" w:hAnsi="Liberation Serif" w:cs="Liberation Serif"/>
          <w:sz w:val="24"/>
          <w:szCs w:val="24"/>
        </w:rPr>
        <w:t xml:space="preserve"> репозиторию всего программного обеспечения (в т.ч. заимствованного), являющегося компонентами ПО/ПАК, в отношении которого даются гарантии безопасности и совместимости.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85"/>
        <w:numPr>
          <w:ilvl w:val="0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Лицензиат обеспечивает возможность локального обновления Сублицензиатом всего программного обеспечения (в т.ч. заимствованного), являющегося компонентами ПО/ПАК, в отношении которого даются гарантии бе</w:t>
      </w:r>
      <w:r>
        <w:rPr>
          <w:rFonts w:ascii="Liberation Serif" w:hAnsi="Liberation Serif" w:cs="Liberation Serif"/>
          <w:sz w:val="24"/>
          <w:szCs w:val="24"/>
        </w:rPr>
        <w:t xml:space="preserve">зопасности и совместимости, а также гарантирует отсутствие автоматической (не настраиваемой Сублицензиатом) функции дистанционного (по сети передачи данных, в т.ч. сети «Интернет») обновления всего программного обеспечения, являющегося компонентами ПО/ПАК.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85"/>
        <w:numPr>
          <w:ilvl w:val="0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В случае использования в ПО/ПАК и обновлениях собст</w:t>
      </w:r>
      <w:r>
        <w:rPr>
          <w:rFonts w:ascii="Liberation Serif" w:hAnsi="Liberation Serif" w:cs="Liberation Serif"/>
          <w:sz w:val="24"/>
          <w:szCs w:val="24"/>
        </w:rPr>
        <w:t xml:space="preserve">венного или заимствованного ПО либо отдельных библиотек (иных объектов), содержащих не устранённые производителем ПО/ПАК уязвимости, должны быть описаны и предоставлены Сублицензиату компенсирующие меры, делающие невозможным эксплуатацию таких уязвимостей.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85"/>
        <w:numPr>
          <w:ilvl w:val="0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В случае выявления уязвимостей в ПО/ПАК и обновлениях Лицензиат обязан своевременно, в срок не более 2-х рабочих дней, информировать Сублицензиата о выявленных уязвимостях и, в этот же срок, направлять Сублицензиату рекомендации по компенсирующим мерам</w:t>
      </w:r>
      <w:r>
        <w:rPr>
          <w:rStyle w:val="1116"/>
          <w:rFonts w:ascii="Liberation Serif" w:hAnsi="Liberation Serif" w:cs="Liberation Serif"/>
          <w:sz w:val="24"/>
          <w:szCs w:val="24"/>
        </w:rPr>
        <w:footnoteReference w:id="10"/>
      </w:r>
      <w:r>
        <w:rPr>
          <w:rFonts w:ascii="Liberation Serif" w:hAnsi="Liberation Serif" w:cs="Liberation Serif"/>
          <w:sz w:val="24"/>
          <w:szCs w:val="24"/>
        </w:rPr>
        <w:t xml:space="preserve">, делающим невозможной эксплуатацию таких уязвимостей, а также, в применимых случаях, публиковать на официальном сайте Лицензиата информацию о данном факте.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85"/>
        <w:numPr>
          <w:ilvl w:val="0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Лицензиат гарантирует выпуск обновлений безопасности, направленных на устранение уязвимостей, выявленных в ПО/ПАК и обновлениях, с учетом требований по устранению уязвимостей определённых ФСТЭК России</w:t>
      </w:r>
      <w:r>
        <w:rPr>
          <w:rStyle w:val="1116"/>
          <w:rFonts w:ascii="Liberation Serif" w:hAnsi="Liberation Serif" w:cs="Liberation Serif"/>
          <w:sz w:val="24"/>
          <w:szCs w:val="24"/>
        </w:rPr>
        <w:footnoteReference w:id="11"/>
      </w:r>
      <w:r>
        <w:rPr>
          <w:rFonts w:ascii="Liberation Serif" w:hAnsi="Liberation Serif" w:cs="Liberation Serif"/>
          <w:sz w:val="24"/>
          <w:szCs w:val="24"/>
        </w:rPr>
        <w:t xml:space="preserve">.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85"/>
        <w:numPr>
          <w:ilvl w:val="0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Лицензиат гарантирует возможность предоставления технической поддержки на ПО/ПАК и обновления в течении всего срока их эксплуатации, предусмотренного условиями договора и или лицензии.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sz w:val="24"/>
          <w:szCs w:val="24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899"/>
        <w:jc w:val="center"/>
        <w:keepNext w:val="0"/>
        <w:spacing w:before="0" w:after="0"/>
        <w:widowControl w:val="off"/>
        <w:tabs>
          <w:tab w:val="left" w:pos="-567" w:leader="none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Подписи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сторон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widowControl w:val="off"/>
        <w:tabs>
          <w:tab w:val="left" w:pos="6705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50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103"/>
        <w:gridCol w:w="5400"/>
      </w:tblGrid>
      <w:tr>
        <w:tblPrEx/>
        <w:trPr>
          <w:trHeight w:val="80"/>
        </w:trPr>
        <w:tc>
          <w:tcPr>
            <w:tcW w:w="5103" w:type="dxa"/>
            <w:textDirection w:val="lrTb"/>
            <w:noWrap w:val="false"/>
          </w:tcPr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 </w:t>
            </w:r>
            <w:r>
              <w:rPr>
                <w:sz w:val="24"/>
                <w:szCs w:val="24"/>
              </w:rPr>
              <w:t xml:space="preserve">Лицензиат</w:t>
            </w:r>
            <w:r>
              <w:rPr>
                <w:sz w:val="24"/>
                <w:szCs w:val="24"/>
                <w:lang w:eastAsia="en-US"/>
              </w:rPr>
              <w:t xml:space="preserve">а: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ind w:firstLine="567"/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_____________________/                                    /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5400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Сублицензиата: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 _____________________/                                      /</w:t>
            </w:r>
            <w:r>
              <w:rPr>
                <w:sz w:val="24"/>
                <w:szCs w:val="24"/>
                <w:lang w:eastAsia="en-US"/>
              </w:rPr>
              <w:tab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</w:tr>
    </w:tbl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sectPr>
      <w:footnotePr/>
      <w:endnotePr/>
      <w:type w:val="nextPage"/>
      <w:pgSz w:w="11906" w:h="16838" w:orient="portrait"/>
      <w:pgMar w:top="1134" w:right="1134" w:bottom="1134" w:left="1134" w:header="437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ymbol">
    <w:panose1 w:val="05010000000000000000"/>
  </w:font>
  <w:font w:name="Tahoma">
    <w:panose1 w:val="020B0604030504040204"/>
  </w:font>
  <w:font w:name="Wingdings">
    <w:panose1 w:val="05010000000000000000"/>
  </w:font>
  <w:font w:name="Palatino">
    <w:panose1 w:val="020B0604020202020204"/>
  </w:font>
  <w:font w:name="Courier New">
    <w:panose1 w:val="020704090202050204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Batang">
    <w:panose1 w:val="02000506000000020000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41010967"/>
      <w:docPartObj>
        <w:docPartGallery w:val="Page Numbers (Bottom of Page)"/>
        <w:docPartUnique w:val="true"/>
      </w:docPartObj>
      <w:rPr/>
    </w:sdtPr>
    <w:sdtContent>
      <w:p>
        <w:pPr>
          <w:pStyle w:val="1091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  <w:p>
    <w:pPr>
      <w:pStyle w:val="109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  <w:footnote w:id="3">
    <w:p>
      <w:pPr>
        <w:pStyle w:val="1117"/>
        <w:rPr>
          <w:rFonts w:ascii="Liberation Serif" w:hAnsi="Liberation Serif" w:cs="Liberation Serif"/>
        </w:rPr>
      </w:pPr>
      <w:r>
        <w:rPr>
          <w:rStyle w:val="1116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В том числе: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1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ГОСТ Р 56939-2016. Национальный стандарт Российской Федерации. «Защита информации. Разработка безопасного программного обеспечения. Общие требования» (утв. и введен в действие Приказом Росстандарта от 01.06.2016 N 458-ст).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1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ГОСТ Р 58412-2019. Н</w:t>
      </w:r>
      <w:r>
        <w:rPr>
          <w:rFonts w:ascii="Liberation Serif" w:hAnsi="Liberation Serif" w:cs="Liberation Serif"/>
        </w:rPr>
        <w:t xml:space="preserve">ациональный стандарт Российской Федерации. «Защита информации. Разработка безопасного программного обеспечения. Угрозы безопасности информации при разработке программного обеспечения» (утв. и введен в действие Приказом Росстандарта от 21.05.2019 N 204-ст).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1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ГОСТ Р 712</w:t>
      </w:r>
      <w:r>
        <w:rPr>
          <w:rFonts w:ascii="Liberation Serif" w:hAnsi="Liberation Serif" w:cs="Liberation Serif"/>
        </w:rPr>
        <w:t xml:space="preserve">07–2024. Национальный стандарт Российской Федерации. «Защита информации. Разработка безопасного программного обеспечения. Статический анализ программного обеспечения. Общие требования» (утв. и введен в действие Приказом Росстандарта от 18.01.2024 N 25-ст).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</w:footnote>
  <w:footnote w:id="4">
    <w:p>
      <w:pPr>
        <w:pStyle w:val="1117"/>
        <w:rPr>
          <w:rFonts w:ascii="Liberation Serif" w:hAnsi="Liberation Serif" w:cs="Liberation Serif"/>
        </w:rPr>
      </w:pPr>
      <w:r>
        <w:rPr>
          <w:rStyle w:val="1116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Методический документ «Методика тестирования обновлений безопасности программных, программно-аппаратных средств» (утв. ФСТЭК России 28.10.2022).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1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«Требования по безопасности информации к системам управления базами данных» (утв. Приказом ФСТЭК России от 14.04.2023 № 64) (</w:t>
      </w:r>
      <w:r>
        <w:rPr>
          <w:rFonts w:ascii="Liberation Serif" w:hAnsi="Liberation Serif" w:cs="Liberation Serif"/>
          <w:i/>
        </w:rPr>
        <w:t xml:space="preserve">при планировании и реализации работ по использованию, модернизации или созданию СУБД в ЗОКИИ, ГИС, АСУ ТП или ИСПДн</w:t>
      </w:r>
      <w:r>
        <w:rPr>
          <w:rFonts w:ascii="Liberation Serif" w:hAnsi="Liberation Serif" w:cs="Liberation Serif"/>
        </w:rPr>
        <w:t xml:space="preserve">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</w:footnote>
  <w:footnote w:id="5">
    <w:p>
      <w:pPr>
        <w:pStyle w:val="1117"/>
        <w:rPr>
          <w:rFonts w:ascii="Liberation Serif" w:hAnsi="Liberation Serif" w:cs="Liberation Serif"/>
        </w:rPr>
      </w:pPr>
      <w:r>
        <w:rPr>
          <w:rStyle w:val="1116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Методический документ «Методика тестирования обновлений безопасности программных, программно-аппаратных средств» (утв. ФСТЭК России 28.10.2022).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17"/>
      </w:pPr>
      <w:r>
        <w:rPr>
          <w:rFonts w:ascii="Liberation Serif" w:hAnsi="Liberation Serif" w:cs="Liberation Serif"/>
        </w:rPr>
        <w:t xml:space="preserve">«Требования по безопасности информации к системам управления базами данных» (утв. Приказом ФСТЭК России от 14.04.2023 № 64) (</w:t>
      </w:r>
      <w:r>
        <w:rPr>
          <w:rFonts w:ascii="Liberation Serif" w:hAnsi="Liberation Serif" w:cs="Liberation Serif"/>
          <w:i/>
        </w:rPr>
        <w:t xml:space="preserve">при планировании и реализации работ по использованию, модернизации или созданию СУБД в ЗОКИИ, ГИС, АСУ ТП или ИСПДн</w:t>
      </w:r>
      <w:r>
        <w:rPr>
          <w:rFonts w:ascii="Liberation Serif" w:hAnsi="Liberation Serif" w:cs="Liberation Serif"/>
        </w:rPr>
        <w:t xml:space="preserve">).</w:t>
      </w:r>
      <w:r/>
    </w:p>
  </w:footnote>
  <w:footnote w:id="6">
    <w:p>
      <w:pPr>
        <w:pStyle w:val="1117"/>
        <w:rPr>
          <w:rFonts w:ascii="Liberation Serif" w:hAnsi="Liberation Serif" w:cs="Liberation Serif"/>
        </w:rPr>
      </w:pPr>
      <w:r>
        <w:rPr>
          <w:rStyle w:val="1116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ГОСТ Р 58412-2019. Н</w:t>
      </w:r>
      <w:r>
        <w:rPr>
          <w:rFonts w:ascii="Liberation Serif" w:hAnsi="Liberation Serif" w:cs="Liberation Serif"/>
        </w:rPr>
        <w:t xml:space="preserve">ациональный стандарт Российской Федерации. «Защита информации. Разработка безопасного программного обеспечения. Угрозы безопасности информации при разработке программного обеспечения» (утв. и введен в действие Приказом Росстандарта от 21.05.2019 № 204-ст).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1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ГОСТ Р 56939-2016. Национальный стандарт Российской Федерации. «Защита информации. Разработка безопасного программного обеспечения. Общие требования» (утв. и введен в действие Приказом Росстандарта от 01.06.2016 № 458-ст).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</w:footnote>
  <w:footnote w:id="7">
    <w:p>
      <w:pPr>
        <w:pStyle w:val="1117"/>
        <w:rPr>
          <w:rFonts w:ascii="Liberation Serif" w:hAnsi="Liberation Serif" w:cs="Liberation Serif"/>
        </w:rPr>
      </w:pPr>
      <w:r>
        <w:rPr>
          <w:rStyle w:val="1116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Методический документ «Методика тестирования обновлений безопасности программных, программно-аппаратных средств» (утв. ФСТЭК России 28.10.2022).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</w:footnote>
  <w:footnote w:id="8">
    <w:p>
      <w:pPr>
        <w:pStyle w:val="1117"/>
        <w:rPr>
          <w:rFonts w:ascii="Liberation Serif" w:hAnsi="Liberation Serif" w:cs="Liberation Serif"/>
        </w:rPr>
      </w:pPr>
      <w:r>
        <w:rPr>
          <w:rStyle w:val="1116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szCs w:val="28"/>
        </w:rPr>
        <w:t xml:space="preserve">Обнаружение ошибок реализации логики путем отправки заведомо неверных данных и анализ реакции на них ПО/ПАК и обновлений.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</w:footnote>
  <w:footnote w:id="9">
    <w:p>
      <w:pPr>
        <w:pStyle w:val="1117"/>
        <w:rPr>
          <w:rFonts w:ascii="Liberation Serif" w:hAnsi="Liberation Serif" w:cs="Liberation Serif"/>
        </w:rPr>
      </w:pPr>
      <w:r>
        <w:rPr>
          <w:rStyle w:val="1116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Под доверенным репозиторием программного обеспечения понимается репозиторий, содержащий программное обеспечение, в отношении которого </w:t>
      </w:r>
      <w:r>
        <w:rPr>
          <w:rFonts w:ascii="Liberation Serif" w:hAnsi="Liberation Serif" w:cs="Liberation Serif"/>
          <w:szCs w:val="28"/>
        </w:rPr>
        <w:t xml:space="preserve">Лицензиат обеспечивает соблюдение и дает гарантии выполнения настоящих требований безопасности.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</w:footnote>
  <w:footnote w:id="10">
    <w:p>
      <w:pPr>
        <w:pStyle w:val="1117"/>
        <w:rPr>
          <w:rFonts w:ascii="Liberation Serif" w:hAnsi="Liberation Serif" w:cs="Liberation Serif"/>
        </w:rPr>
      </w:pPr>
      <w:r>
        <w:rPr>
          <w:rStyle w:val="1116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В договоре допускается уточнять формулировки, к</w:t>
      </w:r>
      <w:r>
        <w:rPr>
          <w:rFonts w:ascii="Liberation Serif" w:hAnsi="Liberation Serif" w:cs="Liberation Serif"/>
        </w:rPr>
        <w:t xml:space="preserve">асающиеся возможности устранения уязвимостей на платформах, не находящихся в зоне ответственности исполнителя/поставщика (в данном случае ответственность за устранение уязвимостей ложится на контрагента, имеющего договорные отношения с вендором платформы).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</w:footnote>
  <w:footnote w:id="11">
    <w:p>
      <w:pPr>
        <w:pStyle w:val="1117"/>
      </w:pPr>
      <w:r>
        <w:rPr>
          <w:rStyle w:val="1116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szCs w:val="28"/>
        </w:rPr>
        <w:t xml:space="preserve">Методический документ «Руководство по организации процесса управления уязвимостями в органе (организации)». Утвержден ФСТЭК России 17 мая 2023 г.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9"/>
      <w:rPr>
        <w:rStyle w:val="1097"/>
      </w:rPr>
      <w:framePr w:wrap="auto" w:vAnchor="text" w:hAnchor="margin" w:xAlign="center" w:y="1"/>
    </w:pPr>
    <w:r>
      <w:rPr>
        <w:rStyle w:val="1097"/>
      </w:rPr>
      <w:fldChar w:fldCharType="begin"/>
    </w:r>
    <w:r>
      <w:rPr>
        <w:rStyle w:val="1097"/>
      </w:rPr>
      <w:instrText xml:space="preserve">PAGE  </w:instrText>
    </w:r>
    <w:r>
      <w:rPr>
        <w:rStyle w:val="1097"/>
      </w:rPr>
      <w:fldChar w:fldCharType="separate"/>
    </w:r>
    <w:r>
      <w:rPr>
        <w:rStyle w:val="1097"/>
      </w:rPr>
      <w:t xml:space="preserve">18</w:t>
    </w:r>
    <w:r>
      <w:rPr>
        <w:rStyle w:val="1097"/>
      </w:rPr>
      <w:fldChar w:fldCharType="end"/>
    </w:r>
    <w:r>
      <w:rPr>
        <w:rStyle w:val="1097"/>
      </w:rPr>
    </w:r>
    <w:r>
      <w:rPr>
        <w:rStyle w:val="1097"/>
      </w:rPr>
    </w:r>
  </w:p>
  <w:p>
    <w:pPr>
      <w:pStyle w:val="1089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/>
      <w:suff w:val="tab"/>
      <w:lvlText w:val="%1.%2."/>
      <w:lvlJc w:val="left"/>
      <w:pPr>
        <w:ind w:left="1854" w:hanging="720"/>
        <w:tabs>
          <w:tab w:val="num" w:pos="1854" w:leader="none"/>
        </w:tabs>
      </w:pPr>
      <w:rPr>
        <w:rFonts w:ascii="Times New Roman" w:hAnsi="Times New Roman" w:eastAsia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  <w:tabs>
          <w:tab w:val="num" w:pos="19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  <w:tabs>
          <w:tab w:val="num" w:pos="26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  <w:tabs>
          <w:tab w:val="num" w:pos="33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  <w:tabs>
          <w:tab w:val="num" w:pos="40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  <w:tabs>
          <w:tab w:val="num" w:pos="48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  <w:tabs>
          <w:tab w:val="num" w:pos="55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  <w:tabs>
          <w:tab w:val="num" w:pos="62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  <w:tabs>
          <w:tab w:val="num" w:pos="6971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26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 w:cs="Times New Roman"/>
      </w:rPr>
    </w:lvl>
    <w:lvl w:ilvl="1">
      <w:start w:val="3"/>
      <w:numFmt w:val="decimal"/>
      <w:isLgl w:val="false"/>
      <w:suff w:val="tab"/>
      <w:lvlText w:val="%1.%2"/>
      <w:lvlJc w:val="left"/>
      <w:pPr>
        <w:ind w:left="76" w:hanging="360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152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-132" w:hanging="72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-56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-340" w:hanging="108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-264" w:hanging="144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-548" w:hanging="144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-472" w:hanging="1800"/>
      </w:pPr>
      <w:rPr>
        <w:rFonts w:hint="default"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854" w:hanging="720"/>
        <w:tabs>
          <w:tab w:val="num" w:pos="1854" w:leader="none"/>
        </w:tabs>
      </w:pPr>
      <w:rPr>
        <w:rFonts w:ascii="Times New Roman" w:hAnsi="Times New Roman" w:eastAsia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854" w:hanging="720"/>
        <w:tabs>
          <w:tab w:val="num" w:pos="1854" w:leader="none"/>
        </w:tabs>
      </w:pPr>
      <w:rPr>
        <w:rFonts w:ascii="Times New Roman" w:hAnsi="Times New Roman" w:eastAsia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5115" w:hanging="720"/>
        <w:tabs>
          <w:tab w:val="num" w:pos="5115" w:leader="none"/>
        </w:tabs>
      </w:pPr>
      <w:rPr>
        <w:rFonts w:ascii="Times New Roman" w:hAnsi="Times New Roman" w:eastAsia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>
      <w:start w:val="6"/>
      <w:numFmt w:val="decimal"/>
      <w:isLgl w:val="false"/>
      <w:suff w:val="tab"/>
      <w:lvlText w:val="%1.%2."/>
      <w:lvlJc w:val="left"/>
      <w:pPr>
        <w:ind w:left="4755" w:hanging="360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510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905" w:hanging="72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66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3055" w:hanging="108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810" w:hanging="144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hanging="144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-28576" w:hanging="1800"/>
      </w:pPr>
      <w:rPr>
        <w:rFonts w:hint="default" w:cs="Times New Roman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4755" w:hanging="360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510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905" w:hanging="72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66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3055" w:hanging="108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810" w:hanging="144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hanging="144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-28576" w:hanging="1800"/>
      </w:pPr>
      <w:rPr>
        <w:rFonts w:hint="default" w:cs="Times New Roman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99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715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43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15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875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59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31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035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755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2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6"/>
  </w:num>
  <w:num w:numId="9">
    <w:abstractNumId w:val="8"/>
  </w:num>
  <w:num w:numId="10">
    <w:abstractNumId w:val="17"/>
  </w:num>
  <w:num w:numId="11">
    <w:abstractNumId w:val="15"/>
  </w:num>
  <w:num w:numId="12">
    <w:abstractNumId w:val="3"/>
  </w:num>
  <w:num w:numId="13">
    <w:abstractNumId w:val="2"/>
  </w:num>
  <w:num w:numId="14">
    <w:abstractNumId w:val="11"/>
  </w:num>
  <w:num w:numId="15">
    <w:abstractNumId w:val="6"/>
  </w:num>
  <w:num w:numId="16">
    <w:abstractNumId w:val="0"/>
  </w:num>
  <w:num w:numId="17">
    <w:abstractNumId w:val="19"/>
  </w:num>
  <w:num w:numId="18">
    <w:abstractNumId w:val="9"/>
  </w:num>
  <w:num w:numId="19">
    <w:abstractNumId w:val="10"/>
  </w:num>
  <w:num w:numId="20">
    <w:abstractNumId w:val="18"/>
  </w:num>
  <w:num w:numId="21">
    <w:abstractNumId w:val="13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sz w:val="22"/>
        <w:szCs w:val="22"/>
        <w:lang w:val="ru-RU" w:eastAsia="ru-RU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96" w:default="1">
    <w:name w:val="Normal"/>
    <w:qFormat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897">
    <w:name w:val="Heading 1"/>
    <w:basedOn w:val="896"/>
    <w:next w:val="896"/>
    <w:link w:val="108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98">
    <w:name w:val="Heading 2"/>
    <w:basedOn w:val="896"/>
    <w:next w:val="896"/>
    <w:link w:val="1081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99">
    <w:name w:val="Heading 3"/>
    <w:basedOn w:val="896"/>
    <w:next w:val="896"/>
    <w:link w:val="1082"/>
    <w:uiPriority w:val="99"/>
    <w:qFormat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900">
    <w:name w:val="Heading 4"/>
    <w:basedOn w:val="896"/>
    <w:next w:val="896"/>
    <w:link w:val="92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901">
    <w:name w:val="Heading 5"/>
    <w:basedOn w:val="896"/>
    <w:next w:val="896"/>
    <w:link w:val="92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902">
    <w:name w:val="Heading 6"/>
    <w:basedOn w:val="896"/>
    <w:next w:val="896"/>
    <w:link w:val="9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903">
    <w:name w:val="Heading 7"/>
    <w:basedOn w:val="896"/>
    <w:next w:val="896"/>
    <w:link w:val="9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04">
    <w:name w:val="Heading 8"/>
    <w:basedOn w:val="896"/>
    <w:next w:val="896"/>
    <w:link w:val="9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05">
    <w:name w:val="Heading 9"/>
    <w:basedOn w:val="896"/>
    <w:next w:val="896"/>
    <w:link w:val="92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06" w:default="1">
    <w:name w:val="Default Paragraph Font"/>
    <w:uiPriority w:val="1"/>
    <w:semiHidden/>
    <w:unhideWhenUsed/>
  </w:style>
  <w:style w:type="table" w:styleId="90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8" w:default="1">
    <w:name w:val="No List"/>
    <w:uiPriority w:val="99"/>
    <w:semiHidden/>
    <w:unhideWhenUsed/>
  </w:style>
  <w:style w:type="character" w:styleId="909" w:customStyle="1">
    <w:name w:val="Heading 4 Char"/>
    <w:basedOn w:val="906"/>
    <w:uiPriority w:val="9"/>
    <w:rPr>
      <w:rFonts w:ascii="Arial" w:hAnsi="Arial" w:eastAsia="Arial" w:cs="Arial"/>
      <w:b/>
      <w:bCs/>
      <w:sz w:val="26"/>
      <w:szCs w:val="26"/>
    </w:rPr>
  </w:style>
  <w:style w:type="character" w:styleId="910" w:customStyle="1">
    <w:name w:val="Heading 5 Char"/>
    <w:basedOn w:val="906"/>
    <w:uiPriority w:val="9"/>
    <w:rPr>
      <w:rFonts w:ascii="Arial" w:hAnsi="Arial" w:eastAsia="Arial" w:cs="Arial"/>
      <w:b/>
      <w:bCs/>
      <w:sz w:val="24"/>
      <w:szCs w:val="24"/>
    </w:rPr>
  </w:style>
  <w:style w:type="character" w:styleId="911" w:customStyle="1">
    <w:name w:val="Heading 6 Char"/>
    <w:basedOn w:val="906"/>
    <w:uiPriority w:val="9"/>
    <w:rPr>
      <w:rFonts w:ascii="Arial" w:hAnsi="Arial" w:eastAsia="Arial" w:cs="Arial"/>
      <w:b/>
      <w:bCs/>
      <w:sz w:val="22"/>
      <w:szCs w:val="22"/>
    </w:rPr>
  </w:style>
  <w:style w:type="character" w:styleId="912" w:customStyle="1">
    <w:name w:val="Heading 7 Char"/>
    <w:basedOn w:val="9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13" w:customStyle="1">
    <w:name w:val="Heading 8 Char"/>
    <w:basedOn w:val="906"/>
    <w:uiPriority w:val="9"/>
    <w:rPr>
      <w:rFonts w:ascii="Arial" w:hAnsi="Arial" w:eastAsia="Arial" w:cs="Arial"/>
      <w:i/>
      <w:iCs/>
      <w:sz w:val="22"/>
      <w:szCs w:val="22"/>
    </w:rPr>
  </w:style>
  <w:style w:type="character" w:styleId="914" w:customStyle="1">
    <w:name w:val="Heading 9 Char"/>
    <w:basedOn w:val="906"/>
    <w:uiPriority w:val="9"/>
    <w:rPr>
      <w:rFonts w:ascii="Arial" w:hAnsi="Arial" w:eastAsia="Arial" w:cs="Arial"/>
      <w:i/>
      <w:iCs/>
      <w:sz w:val="21"/>
      <w:szCs w:val="21"/>
    </w:rPr>
  </w:style>
  <w:style w:type="character" w:styleId="915" w:customStyle="1">
    <w:name w:val="Subtitle Char"/>
    <w:basedOn w:val="906"/>
    <w:uiPriority w:val="11"/>
    <w:rPr>
      <w:sz w:val="24"/>
      <w:szCs w:val="24"/>
    </w:rPr>
  </w:style>
  <w:style w:type="character" w:styleId="916" w:customStyle="1">
    <w:name w:val="Quote Char"/>
    <w:uiPriority w:val="29"/>
    <w:rPr>
      <w:i/>
    </w:rPr>
  </w:style>
  <w:style w:type="character" w:styleId="917" w:customStyle="1">
    <w:name w:val="Intense Quote Char"/>
    <w:uiPriority w:val="30"/>
    <w:rPr>
      <w:i/>
    </w:rPr>
  </w:style>
  <w:style w:type="character" w:styleId="918" w:customStyle="1">
    <w:name w:val="Endnote Text Char"/>
    <w:uiPriority w:val="99"/>
    <w:rPr>
      <w:sz w:val="20"/>
    </w:rPr>
  </w:style>
  <w:style w:type="character" w:styleId="919" w:customStyle="1">
    <w:name w:val="Heading 1 Char"/>
    <w:basedOn w:val="906"/>
    <w:uiPriority w:val="9"/>
    <w:rPr>
      <w:rFonts w:ascii="Arial" w:hAnsi="Arial" w:eastAsia="Arial" w:cs="Arial"/>
      <w:sz w:val="40"/>
      <w:szCs w:val="40"/>
    </w:rPr>
  </w:style>
  <w:style w:type="character" w:styleId="920" w:customStyle="1">
    <w:name w:val="Heading 2 Char"/>
    <w:basedOn w:val="906"/>
    <w:uiPriority w:val="9"/>
    <w:rPr>
      <w:rFonts w:ascii="Arial" w:hAnsi="Arial" w:eastAsia="Arial" w:cs="Arial"/>
      <w:sz w:val="34"/>
    </w:rPr>
  </w:style>
  <w:style w:type="character" w:styleId="921" w:customStyle="1">
    <w:name w:val="Heading 3 Char"/>
    <w:basedOn w:val="906"/>
    <w:uiPriority w:val="9"/>
    <w:rPr>
      <w:rFonts w:ascii="Arial" w:hAnsi="Arial" w:eastAsia="Arial" w:cs="Arial"/>
      <w:sz w:val="30"/>
      <w:szCs w:val="30"/>
    </w:rPr>
  </w:style>
  <w:style w:type="character" w:styleId="922" w:customStyle="1">
    <w:name w:val="Заголовок 4 Знак"/>
    <w:basedOn w:val="906"/>
    <w:link w:val="900"/>
    <w:uiPriority w:val="9"/>
    <w:rPr>
      <w:rFonts w:ascii="Arial" w:hAnsi="Arial" w:eastAsia="Arial" w:cs="Arial"/>
      <w:b/>
      <w:bCs/>
      <w:sz w:val="26"/>
      <w:szCs w:val="26"/>
    </w:rPr>
  </w:style>
  <w:style w:type="character" w:styleId="923" w:customStyle="1">
    <w:name w:val="Заголовок 5 Знак"/>
    <w:basedOn w:val="906"/>
    <w:link w:val="901"/>
    <w:uiPriority w:val="9"/>
    <w:rPr>
      <w:rFonts w:ascii="Arial" w:hAnsi="Arial" w:eastAsia="Arial" w:cs="Arial"/>
      <w:b/>
      <w:bCs/>
      <w:sz w:val="24"/>
      <w:szCs w:val="24"/>
    </w:rPr>
  </w:style>
  <w:style w:type="character" w:styleId="924" w:customStyle="1">
    <w:name w:val="Заголовок 6 Знак"/>
    <w:basedOn w:val="906"/>
    <w:link w:val="902"/>
    <w:uiPriority w:val="9"/>
    <w:rPr>
      <w:rFonts w:ascii="Arial" w:hAnsi="Arial" w:eastAsia="Arial" w:cs="Arial"/>
      <w:b/>
      <w:bCs/>
      <w:sz w:val="22"/>
      <w:szCs w:val="22"/>
    </w:rPr>
  </w:style>
  <w:style w:type="character" w:styleId="925" w:customStyle="1">
    <w:name w:val="Заголовок 7 Знак"/>
    <w:basedOn w:val="906"/>
    <w:link w:val="9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26" w:customStyle="1">
    <w:name w:val="Заголовок 8 Знак"/>
    <w:basedOn w:val="906"/>
    <w:link w:val="904"/>
    <w:uiPriority w:val="9"/>
    <w:rPr>
      <w:rFonts w:ascii="Arial" w:hAnsi="Arial" w:eastAsia="Arial" w:cs="Arial"/>
      <w:i/>
      <w:iCs/>
      <w:sz w:val="22"/>
      <w:szCs w:val="22"/>
    </w:rPr>
  </w:style>
  <w:style w:type="character" w:styleId="927" w:customStyle="1">
    <w:name w:val="Заголовок 9 Знак"/>
    <w:basedOn w:val="906"/>
    <w:link w:val="905"/>
    <w:uiPriority w:val="9"/>
    <w:rPr>
      <w:rFonts w:ascii="Arial" w:hAnsi="Arial" w:eastAsia="Arial" w:cs="Arial"/>
      <w:i/>
      <w:iCs/>
      <w:sz w:val="21"/>
      <w:szCs w:val="21"/>
    </w:rPr>
  </w:style>
  <w:style w:type="character" w:styleId="928" w:customStyle="1">
    <w:name w:val="Title Char"/>
    <w:basedOn w:val="906"/>
    <w:uiPriority w:val="10"/>
    <w:rPr>
      <w:sz w:val="48"/>
      <w:szCs w:val="48"/>
    </w:rPr>
  </w:style>
  <w:style w:type="paragraph" w:styleId="929">
    <w:name w:val="Subtitle"/>
    <w:basedOn w:val="896"/>
    <w:next w:val="896"/>
    <w:link w:val="930"/>
    <w:uiPriority w:val="11"/>
    <w:qFormat/>
    <w:pPr>
      <w:spacing w:before="200" w:after="200"/>
    </w:pPr>
    <w:rPr>
      <w:sz w:val="24"/>
      <w:szCs w:val="24"/>
    </w:rPr>
  </w:style>
  <w:style w:type="character" w:styleId="930" w:customStyle="1">
    <w:name w:val="Подзаголовок Знак"/>
    <w:basedOn w:val="906"/>
    <w:link w:val="929"/>
    <w:uiPriority w:val="11"/>
    <w:rPr>
      <w:sz w:val="24"/>
      <w:szCs w:val="24"/>
    </w:rPr>
  </w:style>
  <w:style w:type="paragraph" w:styleId="931">
    <w:name w:val="Quote"/>
    <w:basedOn w:val="896"/>
    <w:next w:val="896"/>
    <w:link w:val="932"/>
    <w:uiPriority w:val="29"/>
    <w:qFormat/>
    <w:pPr>
      <w:ind w:left="720" w:right="720"/>
    </w:pPr>
    <w:rPr>
      <w:i/>
    </w:rPr>
  </w:style>
  <w:style w:type="character" w:styleId="932" w:customStyle="1">
    <w:name w:val="Цитата 2 Знак"/>
    <w:link w:val="931"/>
    <w:uiPriority w:val="29"/>
    <w:rPr>
      <w:i/>
    </w:rPr>
  </w:style>
  <w:style w:type="paragraph" w:styleId="933">
    <w:name w:val="Intense Quote"/>
    <w:basedOn w:val="896"/>
    <w:next w:val="896"/>
    <w:link w:val="93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34" w:customStyle="1">
    <w:name w:val="Выделенная цитата Знак"/>
    <w:link w:val="933"/>
    <w:uiPriority w:val="30"/>
    <w:rPr>
      <w:i/>
    </w:rPr>
  </w:style>
  <w:style w:type="character" w:styleId="935" w:customStyle="1">
    <w:name w:val="Header Char"/>
    <w:basedOn w:val="906"/>
    <w:uiPriority w:val="99"/>
  </w:style>
  <w:style w:type="character" w:styleId="936" w:customStyle="1">
    <w:name w:val="Footer Char"/>
    <w:basedOn w:val="906"/>
    <w:uiPriority w:val="99"/>
  </w:style>
  <w:style w:type="paragraph" w:styleId="937">
    <w:name w:val="Caption"/>
    <w:basedOn w:val="896"/>
    <w:next w:val="896"/>
    <w:link w:val="93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938" w:customStyle="1">
    <w:name w:val="Caption Char"/>
    <w:uiPriority w:val="99"/>
  </w:style>
  <w:style w:type="table" w:styleId="939">
    <w:name w:val="Table Grid"/>
    <w:basedOn w:val="90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0" w:customStyle="1">
    <w:name w:val="Table Grid Light"/>
    <w:basedOn w:val="90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41">
    <w:name w:val="Plain Table 1"/>
    <w:basedOn w:val="90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2">
    <w:name w:val="Plain Table 2"/>
    <w:basedOn w:val="90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3">
    <w:name w:val="Plain Table 3"/>
    <w:basedOn w:val="9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44">
    <w:name w:val="Plain Table 4"/>
    <w:basedOn w:val="9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Plain Table 5"/>
    <w:basedOn w:val="9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46">
    <w:name w:val="Grid Table 1 Light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 w:customStyle="1">
    <w:name w:val="Grid Table 1 Light - Accent 1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 w:customStyle="1">
    <w:name w:val="Grid Table 1 Light - Accent 2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 w:customStyle="1">
    <w:name w:val="Grid Table 1 Light - Accent 3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 w:customStyle="1">
    <w:name w:val="Grid Table 1 Light - Accent 4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 w:customStyle="1">
    <w:name w:val="Grid Table 1 Light - Accent 5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 w:customStyle="1">
    <w:name w:val="Grid Table 1 Light - Accent 6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Grid Table 2"/>
    <w:basedOn w:val="9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 w:customStyle="1">
    <w:name w:val="Grid Table 2 - Accent 1"/>
    <w:basedOn w:val="9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 w:customStyle="1">
    <w:name w:val="Grid Table 2 - Accent 2"/>
    <w:basedOn w:val="9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 w:customStyle="1">
    <w:name w:val="Grid Table 2 - Accent 3"/>
    <w:basedOn w:val="9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 w:customStyle="1">
    <w:name w:val="Grid Table 2 - Accent 4"/>
    <w:basedOn w:val="9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 w:customStyle="1">
    <w:name w:val="Grid Table 2 - Accent 5"/>
    <w:basedOn w:val="9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 w:customStyle="1">
    <w:name w:val="Grid Table 2 - Accent 6"/>
    <w:basedOn w:val="9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Grid Table 3"/>
    <w:basedOn w:val="9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Grid Table 3 - Accent 1"/>
    <w:basedOn w:val="9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Grid Table 3 - Accent 2"/>
    <w:basedOn w:val="9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Grid Table 3 - Accent 3"/>
    <w:basedOn w:val="9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Grid Table 3 - Accent 4"/>
    <w:basedOn w:val="9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Grid Table 3 - Accent 5"/>
    <w:basedOn w:val="9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Grid Table 3 - Accent 6"/>
    <w:basedOn w:val="9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Grid Table 4"/>
    <w:basedOn w:val="9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68" w:customStyle="1">
    <w:name w:val="Grid Table 4 - Accent 1"/>
    <w:basedOn w:val="9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969" w:customStyle="1">
    <w:name w:val="Grid Table 4 - Accent 2"/>
    <w:basedOn w:val="9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970" w:customStyle="1">
    <w:name w:val="Grid Table 4 - Accent 3"/>
    <w:basedOn w:val="9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971" w:customStyle="1">
    <w:name w:val="Grid Table 4 - Accent 4"/>
    <w:basedOn w:val="9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972" w:customStyle="1">
    <w:name w:val="Grid Table 4 - Accent 5"/>
    <w:basedOn w:val="9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973" w:customStyle="1">
    <w:name w:val="Grid Table 4 - Accent 6"/>
    <w:basedOn w:val="9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74">
    <w:name w:val="Grid Table 5 Dark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75" w:customStyle="1">
    <w:name w:val="Grid Table 5 Dark- Accent 1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976" w:customStyle="1">
    <w:name w:val="Grid Table 5 Dark - Accent 2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977" w:customStyle="1">
    <w:name w:val="Grid Table 5 Dark - Accent 3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978" w:customStyle="1">
    <w:name w:val="Grid Table 5 Dark- Accent 4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979" w:customStyle="1">
    <w:name w:val="Grid Table 5 Dark - Accent 5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980" w:customStyle="1">
    <w:name w:val="Grid Table 5 Dark - Accent 6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981">
    <w:name w:val="Grid Table 6 Colorful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82" w:customStyle="1">
    <w:name w:val="Grid Table 6 Colorful - Accent 1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983" w:customStyle="1">
    <w:name w:val="Grid Table 6 Colorful - Accent 2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84" w:customStyle="1">
    <w:name w:val="Grid Table 6 Colorful - Accent 3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85" w:customStyle="1">
    <w:name w:val="Grid Table 6 Colorful - Accent 4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86" w:customStyle="1">
    <w:name w:val="Grid Table 6 Colorful - Accent 5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87" w:customStyle="1">
    <w:name w:val="Grid Table 6 Colorful - Accent 6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88">
    <w:name w:val="Grid Table 7 Colorful"/>
    <w:basedOn w:val="9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 w:customStyle="1">
    <w:name w:val="Grid Table 7 Colorful - Accent 1"/>
    <w:basedOn w:val="9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 w:customStyle="1">
    <w:name w:val="Grid Table 7 Colorful - Accent 2"/>
    <w:basedOn w:val="9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 w:customStyle="1">
    <w:name w:val="Grid Table 7 Colorful - Accent 3"/>
    <w:basedOn w:val="9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 w:customStyle="1">
    <w:name w:val="Grid Table 7 Colorful - Accent 4"/>
    <w:basedOn w:val="9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 w:customStyle="1">
    <w:name w:val="Grid Table 7 Colorful - Accent 5"/>
    <w:basedOn w:val="9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 w:customStyle="1">
    <w:name w:val="Grid Table 7 Colorful - Accent 6"/>
    <w:basedOn w:val="9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>
    <w:name w:val="List Table 1 Light"/>
    <w:basedOn w:val="9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 w:customStyle="1">
    <w:name w:val="List Table 1 Light - Accent 1"/>
    <w:basedOn w:val="9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 w:customStyle="1">
    <w:name w:val="List Table 1 Light - Accent 2"/>
    <w:basedOn w:val="9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 w:customStyle="1">
    <w:name w:val="List Table 1 Light - Accent 3"/>
    <w:basedOn w:val="9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 w:customStyle="1">
    <w:name w:val="List Table 1 Light - Accent 4"/>
    <w:basedOn w:val="9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 w:customStyle="1">
    <w:name w:val="List Table 1 Light - Accent 5"/>
    <w:basedOn w:val="9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 w:customStyle="1">
    <w:name w:val="List Table 1 Light - Accent 6"/>
    <w:basedOn w:val="9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>
    <w:name w:val="List Table 2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003" w:customStyle="1">
    <w:name w:val="List Table 2 - Accent 1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004" w:customStyle="1">
    <w:name w:val="List Table 2 - Accent 2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005" w:customStyle="1">
    <w:name w:val="List Table 2 - Accent 3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006" w:customStyle="1">
    <w:name w:val="List Table 2 - Accent 4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007" w:customStyle="1">
    <w:name w:val="List Table 2 - Accent 5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008" w:customStyle="1">
    <w:name w:val="List Table 2 - Accent 6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009">
    <w:name w:val="List Table 3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 w:customStyle="1">
    <w:name w:val="List Table 3 - Accent 1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 w:customStyle="1">
    <w:name w:val="List Table 3 - Accent 2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 w:customStyle="1">
    <w:name w:val="List Table 3 - Accent 3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 w:customStyle="1">
    <w:name w:val="List Table 3 - Accent 4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 w:customStyle="1">
    <w:name w:val="List Table 3 - Accent 5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 w:customStyle="1">
    <w:name w:val="List Table 3 - Accent 6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6">
    <w:name w:val="List Table 4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 w:customStyle="1">
    <w:name w:val="List Table 4 - Accent 1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 w:customStyle="1">
    <w:name w:val="List Table 4 - Accent 2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 w:customStyle="1">
    <w:name w:val="List Table 4 - Accent 3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 w:customStyle="1">
    <w:name w:val="List Table 4 - Accent 4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 w:customStyle="1">
    <w:name w:val="List Table 4 - Accent 5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 w:customStyle="1">
    <w:name w:val="List Table 4 - Accent 6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>
    <w:name w:val="List Table 5 Dark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24" w:customStyle="1">
    <w:name w:val="List Table 5 Dark - Accent 1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25" w:customStyle="1">
    <w:name w:val="List Table 5 Dark - Accent 2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26" w:customStyle="1">
    <w:name w:val="List Table 5 Dark - Accent 3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27" w:customStyle="1">
    <w:name w:val="List Table 5 Dark - Accent 4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28" w:customStyle="1">
    <w:name w:val="List Table 5 Dark - Accent 5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29" w:customStyle="1">
    <w:name w:val="List Table 5 Dark - Accent 6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0">
    <w:name w:val="List Table 6 Colorful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31" w:customStyle="1">
    <w:name w:val="List Table 6 Colorful - Accent 1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032" w:customStyle="1">
    <w:name w:val="List Table 6 Colorful - Accent 2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033" w:customStyle="1">
    <w:name w:val="List Table 6 Colorful - Accent 3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034" w:customStyle="1">
    <w:name w:val="List Table 6 Colorful - Accent 4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035" w:customStyle="1">
    <w:name w:val="List Table 6 Colorful - Accent 5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036" w:customStyle="1">
    <w:name w:val="List Table 6 Colorful - Accent 6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037">
    <w:name w:val="List Table 7 Colorful"/>
    <w:basedOn w:val="9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8" w:customStyle="1">
    <w:name w:val="List Table 7 Colorful - Accent 1"/>
    <w:basedOn w:val="9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9" w:customStyle="1">
    <w:name w:val="List Table 7 Colorful - Accent 2"/>
    <w:basedOn w:val="9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0" w:customStyle="1">
    <w:name w:val="List Table 7 Colorful - Accent 3"/>
    <w:basedOn w:val="9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1" w:customStyle="1">
    <w:name w:val="List Table 7 Colorful - Accent 4"/>
    <w:basedOn w:val="9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2" w:customStyle="1">
    <w:name w:val="List Table 7 Colorful - Accent 5"/>
    <w:basedOn w:val="9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3" w:customStyle="1">
    <w:name w:val="List Table 7 Colorful - Accent 6"/>
    <w:basedOn w:val="9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4" w:customStyle="1">
    <w:name w:val="Lined - Accent"/>
    <w:basedOn w:val="90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45" w:customStyle="1">
    <w:name w:val="Lined - Accent 1"/>
    <w:basedOn w:val="90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046" w:customStyle="1">
    <w:name w:val="Lined - Accent 2"/>
    <w:basedOn w:val="90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47" w:customStyle="1">
    <w:name w:val="Lined - Accent 3"/>
    <w:basedOn w:val="90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48" w:customStyle="1">
    <w:name w:val="Lined - Accent 4"/>
    <w:basedOn w:val="90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49" w:customStyle="1">
    <w:name w:val="Lined - Accent 5"/>
    <w:basedOn w:val="90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050" w:customStyle="1">
    <w:name w:val="Lined - Accent 6"/>
    <w:basedOn w:val="90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51" w:customStyle="1">
    <w:name w:val="Bordered &amp; Lined - Accent"/>
    <w:basedOn w:val="90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52" w:customStyle="1">
    <w:name w:val="Bordered &amp; Lined - Accent 1"/>
    <w:basedOn w:val="90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053" w:customStyle="1">
    <w:name w:val="Bordered &amp; Lined - Accent 2"/>
    <w:basedOn w:val="90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54" w:customStyle="1">
    <w:name w:val="Bordered &amp; Lined - Accent 3"/>
    <w:basedOn w:val="90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55" w:customStyle="1">
    <w:name w:val="Bordered &amp; Lined - Accent 4"/>
    <w:basedOn w:val="90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56" w:customStyle="1">
    <w:name w:val="Bordered &amp; Lined - Accent 5"/>
    <w:basedOn w:val="90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057" w:customStyle="1">
    <w:name w:val="Bordered &amp; Lined - Accent 6"/>
    <w:basedOn w:val="90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58" w:customStyle="1">
    <w:name w:val="Bordered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59" w:customStyle="1">
    <w:name w:val="Bordered - Accent 1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060" w:customStyle="1">
    <w:name w:val="Bordered - Accent 2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061" w:customStyle="1">
    <w:name w:val="Bordered - Accent 3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062" w:customStyle="1">
    <w:name w:val="Bordered - Accent 4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063" w:customStyle="1">
    <w:name w:val="Bordered - Accent 5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064" w:customStyle="1">
    <w:name w:val="Bordered - Accent 6"/>
    <w:basedOn w:val="9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065" w:customStyle="1">
    <w:name w:val="Footnote Text Char"/>
    <w:uiPriority w:val="99"/>
    <w:rPr>
      <w:sz w:val="18"/>
    </w:rPr>
  </w:style>
  <w:style w:type="paragraph" w:styleId="1066">
    <w:name w:val="endnote text"/>
    <w:basedOn w:val="896"/>
    <w:link w:val="1067"/>
    <w:uiPriority w:val="99"/>
    <w:semiHidden/>
    <w:unhideWhenUsed/>
  </w:style>
  <w:style w:type="character" w:styleId="1067" w:customStyle="1">
    <w:name w:val="Текст концевой сноски Знак"/>
    <w:link w:val="1066"/>
    <w:uiPriority w:val="99"/>
    <w:rPr>
      <w:sz w:val="20"/>
    </w:rPr>
  </w:style>
  <w:style w:type="character" w:styleId="1068">
    <w:name w:val="endnote reference"/>
    <w:basedOn w:val="906"/>
    <w:uiPriority w:val="99"/>
    <w:semiHidden/>
    <w:unhideWhenUsed/>
    <w:rPr>
      <w:vertAlign w:val="superscript"/>
    </w:rPr>
  </w:style>
  <w:style w:type="paragraph" w:styleId="1069">
    <w:name w:val="toc 1"/>
    <w:basedOn w:val="896"/>
    <w:next w:val="896"/>
    <w:uiPriority w:val="39"/>
    <w:unhideWhenUsed/>
    <w:pPr>
      <w:spacing w:after="57"/>
    </w:pPr>
  </w:style>
  <w:style w:type="paragraph" w:styleId="1070">
    <w:name w:val="toc 2"/>
    <w:basedOn w:val="896"/>
    <w:next w:val="896"/>
    <w:uiPriority w:val="39"/>
    <w:unhideWhenUsed/>
    <w:pPr>
      <w:ind w:left="283"/>
      <w:spacing w:after="57"/>
    </w:pPr>
  </w:style>
  <w:style w:type="paragraph" w:styleId="1071">
    <w:name w:val="toc 3"/>
    <w:basedOn w:val="896"/>
    <w:next w:val="896"/>
    <w:uiPriority w:val="39"/>
    <w:unhideWhenUsed/>
    <w:pPr>
      <w:ind w:left="567"/>
      <w:spacing w:after="57"/>
    </w:pPr>
  </w:style>
  <w:style w:type="paragraph" w:styleId="1072">
    <w:name w:val="toc 4"/>
    <w:basedOn w:val="896"/>
    <w:next w:val="896"/>
    <w:uiPriority w:val="39"/>
    <w:unhideWhenUsed/>
    <w:pPr>
      <w:ind w:left="850"/>
      <w:spacing w:after="57"/>
    </w:pPr>
  </w:style>
  <w:style w:type="paragraph" w:styleId="1073">
    <w:name w:val="toc 5"/>
    <w:basedOn w:val="896"/>
    <w:next w:val="896"/>
    <w:uiPriority w:val="39"/>
    <w:unhideWhenUsed/>
    <w:pPr>
      <w:ind w:left="1134"/>
      <w:spacing w:after="57"/>
    </w:pPr>
  </w:style>
  <w:style w:type="paragraph" w:styleId="1074">
    <w:name w:val="toc 6"/>
    <w:basedOn w:val="896"/>
    <w:next w:val="896"/>
    <w:uiPriority w:val="39"/>
    <w:unhideWhenUsed/>
    <w:pPr>
      <w:ind w:left="1417"/>
      <w:spacing w:after="57"/>
    </w:pPr>
  </w:style>
  <w:style w:type="paragraph" w:styleId="1075">
    <w:name w:val="toc 7"/>
    <w:basedOn w:val="896"/>
    <w:next w:val="896"/>
    <w:uiPriority w:val="39"/>
    <w:unhideWhenUsed/>
    <w:pPr>
      <w:ind w:left="1701"/>
      <w:spacing w:after="57"/>
    </w:pPr>
  </w:style>
  <w:style w:type="paragraph" w:styleId="1076">
    <w:name w:val="toc 8"/>
    <w:basedOn w:val="896"/>
    <w:next w:val="896"/>
    <w:uiPriority w:val="39"/>
    <w:unhideWhenUsed/>
    <w:pPr>
      <w:ind w:left="1984"/>
      <w:spacing w:after="57"/>
    </w:pPr>
  </w:style>
  <w:style w:type="paragraph" w:styleId="1077">
    <w:name w:val="toc 9"/>
    <w:basedOn w:val="896"/>
    <w:next w:val="896"/>
    <w:uiPriority w:val="39"/>
    <w:unhideWhenUsed/>
    <w:pPr>
      <w:ind w:left="2268"/>
      <w:spacing w:after="57"/>
    </w:pPr>
  </w:style>
  <w:style w:type="paragraph" w:styleId="1078">
    <w:name w:val="TOC Heading"/>
    <w:uiPriority w:val="39"/>
    <w:unhideWhenUsed/>
  </w:style>
  <w:style w:type="paragraph" w:styleId="1079">
    <w:name w:val="table of figures"/>
    <w:basedOn w:val="896"/>
    <w:next w:val="896"/>
    <w:uiPriority w:val="99"/>
    <w:unhideWhenUsed/>
  </w:style>
  <w:style w:type="character" w:styleId="1080" w:customStyle="1">
    <w:name w:val="Заголовок 1 Знак"/>
    <w:basedOn w:val="906"/>
    <w:link w:val="897"/>
    <w:uiPriority w:val="99"/>
    <w:rPr>
      <w:rFonts w:ascii="Arial" w:hAnsi="Arial" w:cs="Arial"/>
      <w:b/>
      <w:bCs/>
      <w:sz w:val="32"/>
      <w:szCs w:val="32"/>
      <w:lang w:eastAsia="ru-RU"/>
    </w:rPr>
  </w:style>
  <w:style w:type="character" w:styleId="1081" w:customStyle="1">
    <w:name w:val="Заголовок 2 Знак"/>
    <w:basedOn w:val="906"/>
    <w:link w:val="898"/>
    <w:uiPriority w:val="99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styleId="1082" w:customStyle="1">
    <w:name w:val="Заголовок 3 Знак"/>
    <w:basedOn w:val="906"/>
    <w:link w:val="899"/>
    <w:semiHidden/>
    <w:rPr>
      <w:rFonts w:ascii="Cambria" w:hAnsi="Cambria" w:cs="Cambria"/>
      <w:b/>
      <w:bCs/>
      <w:sz w:val="26"/>
      <w:szCs w:val="26"/>
      <w:lang w:eastAsia="ru-RU"/>
    </w:rPr>
  </w:style>
  <w:style w:type="paragraph" w:styleId="1083">
    <w:name w:val="Plain Text"/>
    <w:basedOn w:val="896"/>
    <w:link w:val="1084"/>
    <w:uiPriority w:val="99"/>
    <w:rPr>
      <w:rFonts w:ascii="Courier New" w:hAnsi="Courier New" w:cs="Courier New"/>
    </w:rPr>
  </w:style>
  <w:style w:type="character" w:styleId="1084" w:customStyle="1">
    <w:name w:val="Текст Знак"/>
    <w:basedOn w:val="906"/>
    <w:link w:val="1083"/>
    <w:uiPriority w:val="99"/>
    <w:rPr>
      <w:rFonts w:ascii="Courier New" w:hAnsi="Courier New" w:cs="Courier New"/>
      <w:sz w:val="20"/>
      <w:szCs w:val="20"/>
      <w:lang w:eastAsia="ru-RU"/>
    </w:rPr>
  </w:style>
  <w:style w:type="paragraph" w:styleId="1085">
    <w:name w:val="List Paragraph"/>
    <w:basedOn w:val="896"/>
    <w:link w:val="1098"/>
    <w:uiPriority w:val="34"/>
    <w:qFormat/>
    <w:pPr>
      <w:ind w:left="720"/>
    </w:pPr>
  </w:style>
  <w:style w:type="paragraph" w:styleId="1086" w:customStyle="1">
    <w:name w:val="ConsPlusNormal"/>
    <w:uiPriority w:val="99"/>
    <w:pPr>
      <w:ind w:firstLine="720"/>
      <w:spacing w:after="0" w:line="240" w:lineRule="auto"/>
    </w:pPr>
    <w:rPr>
      <w:rFonts w:ascii="Arial" w:hAnsi="Arial" w:cs="Arial"/>
      <w:sz w:val="20"/>
      <w:szCs w:val="20"/>
    </w:rPr>
  </w:style>
  <w:style w:type="paragraph" w:styleId="1087">
    <w:name w:val="Body Text"/>
    <w:basedOn w:val="896"/>
    <w:link w:val="1088"/>
    <w:uiPriority w:val="99"/>
    <w:pPr>
      <w:spacing w:after="120"/>
    </w:pPr>
  </w:style>
  <w:style w:type="character" w:styleId="1088" w:customStyle="1">
    <w:name w:val="Основной текст Знак"/>
    <w:basedOn w:val="906"/>
    <w:link w:val="1087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1089">
    <w:name w:val="Header"/>
    <w:basedOn w:val="896"/>
    <w:link w:val="1090"/>
    <w:uiPriority w:val="99"/>
    <w:pPr>
      <w:tabs>
        <w:tab w:val="center" w:pos="4677" w:leader="none"/>
        <w:tab w:val="right" w:pos="9355" w:leader="none"/>
      </w:tabs>
    </w:pPr>
  </w:style>
  <w:style w:type="character" w:styleId="1090" w:customStyle="1">
    <w:name w:val="Верхний колонтитул Знак"/>
    <w:basedOn w:val="906"/>
    <w:link w:val="1089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1091">
    <w:name w:val="Footer"/>
    <w:basedOn w:val="896"/>
    <w:link w:val="1092"/>
    <w:uiPriority w:val="99"/>
    <w:pPr>
      <w:tabs>
        <w:tab w:val="center" w:pos="4677" w:leader="none"/>
        <w:tab w:val="right" w:pos="9355" w:leader="none"/>
      </w:tabs>
    </w:pPr>
  </w:style>
  <w:style w:type="character" w:styleId="1092" w:customStyle="1">
    <w:name w:val="Нижний колонтитул Знак"/>
    <w:basedOn w:val="906"/>
    <w:link w:val="1091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1093">
    <w:name w:val="Body Text Indent"/>
    <w:basedOn w:val="896"/>
    <w:link w:val="1094"/>
    <w:uiPriority w:val="99"/>
    <w:pPr>
      <w:ind w:left="283"/>
      <w:spacing w:after="120"/>
    </w:pPr>
    <w:rPr>
      <w:sz w:val="28"/>
      <w:szCs w:val="28"/>
    </w:rPr>
  </w:style>
  <w:style w:type="character" w:styleId="1094" w:customStyle="1">
    <w:name w:val="Основной текст с отступом Знак"/>
    <w:basedOn w:val="906"/>
    <w:link w:val="1093"/>
    <w:uiPriority w:val="99"/>
    <w:rPr>
      <w:rFonts w:ascii="Times New Roman" w:hAnsi="Times New Roman" w:cs="Times New Roman"/>
      <w:sz w:val="28"/>
      <w:szCs w:val="28"/>
      <w:lang w:eastAsia="ru-RU"/>
    </w:rPr>
  </w:style>
  <w:style w:type="paragraph" w:styleId="1095">
    <w:name w:val="Body Text First Indent"/>
    <w:basedOn w:val="1087"/>
    <w:link w:val="1096"/>
    <w:uiPriority w:val="99"/>
    <w:pPr>
      <w:ind w:firstLine="210"/>
    </w:pPr>
  </w:style>
  <w:style w:type="character" w:styleId="1096" w:customStyle="1">
    <w:name w:val="Красная строка Знак"/>
    <w:basedOn w:val="1088"/>
    <w:link w:val="1095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styleId="1097">
    <w:name w:val="page number"/>
    <w:basedOn w:val="906"/>
    <w:uiPriority w:val="99"/>
    <w:rPr>
      <w:rFonts w:cs="Times New Roman"/>
    </w:rPr>
  </w:style>
  <w:style w:type="character" w:styleId="1098" w:customStyle="1">
    <w:name w:val="Абзац списка Знак"/>
    <w:link w:val="1085"/>
    <w:uiPriority w:val="99"/>
  </w:style>
  <w:style w:type="paragraph" w:styleId="1099">
    <w:name w:val="Title"/>
    <w:basedOn w:val="896"/>
    <w:link w:val="1100"/>
    <w:uiPriority w:val="99"/>
    <w:qFormat/>
    <w:pPr>
      <w:jc w:val="center"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styleId="1100" w:customStyle="1">
    <w:name w:val="Заголовок Знак"/>
    <w:basedOn w:val="906"/>
    <w:link w:val="1099"/>
    <w:uiPriority w:val="99"/>
    <w:rPr>
      <w:rFonts w:ascii="Arial" w:hAnsi="Arial" w:cs="Arial"/>
      <w:b/>
      <w:bCs/>
      <w:sz w:val="20"/>
      <w:szCs w:val="20"/>
    </w:rPr>
  </w:style>
  <w:style w:type="paragraph" w:styleId="1101" w:customStyle="1">
    <w:name w:val="Таблица"/>
    <w:basedOn w:val="896"/>
    <w:uiPriority w:val="99"/>
    <w:pPr>
      <w:keepLines/>
      <w:spacing w:before="60" w:after="60"/>
    </w:pPr>
    <w:rPr>
      <w:sz w:val="24"/>
      <w:szCs w:val="24"/>
    </w:rPr>
  </w:style>
  <w:style w:type="paragraph" w:styleId="1102" w:customStyle="1">
    <w:name w:val="Normal2"/>
    <w:uiPriority w:val="99"/>
    <w:pPr>
      <w:spacing w:after="0" w:line="240" w:lineRule="auto"/>
      <w:widowControl w:val="off"/>
    </w:pPr>
    <w:rPr>
      <w:rFonts w:ascii="Arial" w:hAnsi="Arial" w:cs="Arial"/>
      <w:sz w:val="20"/>
      <w:szCs w:val="20"/>
    </w:rPr>
  </w:style>
  <w:style w:type="paragraph" w:styleId="1103">
    <w:name w:val="No Spacing"/>
    <w:link w:val="1119"/>
    <w:uiPriority w:val="1"/>
    <w:qFormat/>
    <w:pPr>
      <w:spacing w:after="0" w:line="240" w:lineRule="auto"/>
    </w:pPr>
    <w:rPr>
      <w:lang w:eastAsia="en-US"/>
    </w:rPr>
  </w:style>
  <w:style w:type="paragraph" w:styleId="1104" w:customStyle="1">
    <w:name w:val="Normal1"/>
    <w:basedOn w:val="896"/>
    <w:uiPriority w:val="99"/>
    <w:pPr>
      <w:ind w:left="440" w:hanging="440"/>
      <w:spacing w:after="200"/>
    </w:pPr>
    <w:rPr>
      <w:rFonts w:ascii="Palatino" w:hAnsi="Palatino" w:cs="Palatino"/>
      <w:b/>
      <w:bCs/>
      <w:sz w:val="24"/>
      <w:szCs w:val="24"/>
    </w:rPr>
  </w:style>
  <w:style w:type="character" w:styleId="1105" w:customStyle="1">
    <w:name w:val="нум текст дог Знак"/>
    <w:basedOn w:val="906"/>
    <w:link w:val="1106"/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1106" w:customStyle="1">
    <w:name w:val="нум текст дог"/>
    <w:basedOn w:val="1085"/>
    <w:link w:val="1105"/>
    <w:qFormat/>
    <w:pPr>
      <w:ind w:left="0"/>
      <w:jc w:val="both"/>
      <w:widowControl w:val="off"/>
      <w:tabs>
        <w:tab w:val="left" w:pos="1276" w:leader="none"/>
      </w:tabs>
    </w:pPr>
    <w:rPr>
      <w:color w:val="000000"/>
      <w:sz w:val="24"/>
      <w:szCs w:val="24"/>
    </w:rPr>
  </w:style>
  <w:style w:type="paragraph" w:styleId="1107" w:customStyle="1">
    <w:name w:val="Default"/>
    <w:uiPriority w:val="99"/>
    <w:pPr>
      <w:spacing w:after="0" w:line="240" w:lineRule="auto"/>
    </w:pPr>
    <w:rPr>
      <w:color w:val="000000"/>
      <w:sz w:val="24"/>
      <w:szCs w:val="24"/>
      <w:lang w:eastAsia="en-US"/>
    </w:rPr>
  </w:style>
  <w:style w:type="paragraph" w:styleId="1108">
    <w:name w:val="Balloon Text"/>
    <w:basedOn w:val="896"/>
    <w:link w:val="1109"/>
    <w:uiPriority w:val="99"/>
    <w:semiHidden/>
    <w:rPr>
      <w:rFonts w:ascii="Tahoma" w:hAnsi="Tahoma" w:cs="Tahoma"/>
      <w:sz w:val="16"/>
      <w:szCs w:val="16"/>
    </w:rPr>
  </w:style>
  <w:style w:type="character" w:styleId="1109" w:customStyle="1">
    <w:name w:val="Текст выноски Знак"/>
    <w:basedOn w:val="906"/>
    <w:link w:val="1108"/>
    <w:uiPriority w:val="99"/>
    <w:semiHidden/>
    <w:rPr>
      <w:rFonts w:ascii="Tahoma" w:hAnsi="Tahoma" w:cs="Tahoma"/>
      <w:sz w:val="16"/>
      <w:szCs w:val="16"/>
      <w:lang w:eastAsia="ru-RU"/>
    </w:rPr>
  </w:style>
  <w:style w:type="character" w:styleId="1110">
    <w:name w:val="annotation reference"/>
    <w:basedOn w:val="906"/>
    <w:uiPriority w:val="99"/>
    <w:semiHidden/>
    <w:rPr>
      <w:rFonts w:cs="Times New Roman"/>
      <w:sz w:val="16"/>
      <w:szCs w:val="16"/>
    </w:rPr>
  </w:style>
  <w:style w:type="paragraph" w:styleId="1111">
    <w:name w:val="annotation text"/>
    <w:basedOn w:val="896"/>
    <w:link w:val="1112"/>
    <w:uiPriority w:val="99"/>
    <w:semiHidden/>
  </w:style>
  <w:style w:type="character" w:styleId="1112" w:customStyle="1">
    <w:name w:val="Текст примечания Знак"/>
    <w:basedOn w:val="906"/>
    <w:link w:val="1111"/>
    <w:uiPriority w:val="99"/>
    <w:semiHidden/>
    <w:rPr>
      <w:rFonts w:ascii="Times New Roman" w:hAnsi="Times New Roman" w:cs="Times New Roman"/>
      <w:sz w:val="20"/>
      <w:szCs w:val="20"/>
      <w:lang w:eastAsia="ru-RU"/>
    </w:rPr>
  </w:style>
  <w:style w:type="paragraph" w:styleId="1113">
    <w:name w:val="Revision"/>
    <w:hidden/>
    <w:uiPriority w:val="99"/>
    <w:semiHidden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114">
    <w:name w:val="annotation subject"/>
    <w:basedOn w:val="1111"/>
    <w:next w:val="1111"/>
    <w:link w:val="1115"/>
    <w:uiPriority w:val="99"/>
    <w:semiHidden/>
    <w:rPr>
      <w:b/>
      <w:bCs/>
    </w:rPr>
  </w:style>
  <w:style w:type="character" w:styleId="1115" w:customStyle="1">
    <w:name w:val="Тема примечания Знак"/>
    <w:basedOn w:val="1112"/>
    <w:link w:val="1114"/>
    <w:uiPriority w:val="99"/>
    <w:semiHidden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1116">
    <w:name w:val="footnote reference"/>
    <w:basedOn w:val="906"/>
    <w:rPr>
      <w:rFonts w:cs="Times New Roman"/>
      <w:vertAlign w:val="superscript"/>
    </w:rPr>
  </w:style>
  <w:style w:type="paragraph" w:styleId="1117">
    <w:name w:val="footnote text"/>
    <w:basedOn w:val="896"/>
    <w:link w:val="1118"/>
    <w:pPr>
      <w:jc w:val="both"/>
      <w:spacing w:before="120" w:after="120"/>
    </w:pPr>
    <w:rPr>
      <w:rFonts w:ascii="Calibri" w:hAnsi="Calibri" w:cs="Calibri"/>
    </w:rPr>
  </w:style>
  <w:style w:type="character" w:styleId="1118" w:customStyle="1">
    <w:name w:val="Текст сноски Знак"/>
    <w:basedOn w:val="906"/>
    <w:link w:val="1117"/>
    <w:rPr>
      <w:rFonts w:eastAsia="Times New Roman" w:cs="Times New Roman"/>
      <w:sz w:val="18"/>
      <w:szCs w:val="18"/>
      <w:lang w:eastAsia="ru-RU"/>
    </w:rPr>
  </w:style>
  <w:style w:type="character" w:styleId="1119" w:customStyle="1">
    <w:name w:val="Без интервала Знак"/>
    <w:basedOn w:val="906"/>
    <w:link w:val="1103"/>
    <w:uiPriority w:val="1"/>
    <w:rPr>
      <w:lang w:eastAsia="en-US"/>
    </w:rPr>
  </w:style>
  <w:style w:type="character" w:styleId="1120" w:customStyle="1">
    <w:name w:val="Font Style21"/>
    <w:uiPriority w:val="99"/>
    <w:rPr>
      <w:rFonts w:ascii="Arial" w:hAnsi="Arial" w:cs="Arial"/>
      <w:sz w:val="16"/>
      <w:szCs w:val="16"/>
    </w:rPr>
  </w:style>
  <w:style w:type="table" w:styleId="1121" w:customStyle="1">
    <w:name w:val="Сетка таблицы41"/>
    <w:basedOn w:val="907"/>
    <w:uiPriority w:val="59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22">
    <w:name w:val="Hyperlink"/>
    <w:basedOn w:val="906"/>
    <w:uiPriority w:val="99"/>
    <w:unhideWhenUsed/>
    <w:rPr>
      <w:color w:val="0563c1" w:themeColor="hyperlink"/>
      <w:u w:val="single"/>
    </w:rPr>
  </w:style>
  <w:style w:type="character" w:styleId="1123" w:customStyle="1">
    <w:name w:val="Неразрешенное упоминание1"/>
    <w:basedOn w:val="906"/>
    <w:uiPriority w:val="99"/>
    <w:semiHidden/>
    <w:unhideWhenUsed/>
    <w:rPr>
      <w:color w:val="605e5c"/>
      <w:shd w:val="clear" w:color="auto" w:fill="e1dfdd"/>
    </w:rPr>
  </w:style>
  <w:style w:type="table" w:styleId="1124" w:customStyle="1">
    <w:name w:val="TableStyle0"/>
    <w:pPr>
      <w:spacing w:after="0" w:line="240" w:lineRule="auto"/>
    </w:pPr>
    <w:rPr>
      <w:rFonts w:ascii="Arial" w:hAnsi="Arial" w:eastAsiaTheme="minorEastAsia" w:cstheme="minorBidi"/>
      <w:sz w:val="15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25" w:customStyle="1">
    <w:name w:val="TableStyle1"/>
    <w:pPr>
      <w:spacing w:after="0" w:line="240" w:lineRule="auto"/>
    </w:pPr>
    <w:rPr>
      <w:rFonts w:ascii="Arial" w:hAnsi="Arial" w:eastAsiaTheme="minorEastAsia" w:cstheme="minorBidi"/>
      <w:sz w:val="15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26" w:customStyle="1">
    <w:name w:val="TableStyle2"/>
    <w:pPr>
      <w:spacing w:after="0" w:line="240" w:lineRule="auto"/>
    </w:pPr>
    <w:rPr>
      <w:rFonts w:ascii="Arial" w:hAnsi="Arial" w:eastAsiaTheme="minorEastAsia" w:cstheme="minorBidi"/>
      <w:sz w:val="15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27" w:customStyle="1">
    <w:name w:val="TableStyle3"/>
    <w:pPr>
      <w:spacing w:after="0" w:line="240" w:lineRule="auto"/>
    </w:pPr>
    <w:rPr>
      <w:rFonts w:ascii="Arial" w:hAnsi="Arial" w:eastAsiaTheme="minorEastAsia" w:cstheme="minorBidi"/>
      <w:sz w:val="15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28" w:customStyle="1">
    <w:name w:val="TableStyle4"/>
    <w:pPr>
      <w:spacing w:after="0" w:line="240" w:lineRule="auto"/>
    </w:pPr>
    <w:rPr>
      <w:rFonts w:ascii="Arial" w:hAnsi="Arial" w:eastAsiaTheme="minorEastAsia" w:cstheme="minorBidi"/>
      <w:sz w:val="15"/>
    </w:rPr>
    <w:tblPr>
      <w:tblCellMar>
        <w:left w:w="0" w:type="dxa"/>
        <w:top w:w="0" w:type="dxa"/>
        <w:right w:w="0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hyperlink" Target="consultantplus://offline/ref=7E4BED945EF4DDADD9F662AEA27BE2FEC8B399A96B057794419AA9F0A75AB620DEE5EB8FFDB3DD98c7DAL" TargetMode="External"/><Relationship Id="rId13" Type="http://schemas.openxmlformats.org/officeDocument/2006/relationships/hyperlink" Target="http://irao-e@interrao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C716D-2172-446A-AFCD-EC064B48C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Гольфенбейн</dc:creator>
  <cp:keywords/>
  <dc:description/>
  <cp:lastModifiedBy>sergeeva_evl</cp:lastModifiedBy>
  <cp:revision>4</cp:revision>
  <dcterms:created xsi:type="dcterms:W3CDTF">2025-12-10T08:46:00Z</dcterms:created>
  <dcterms:modified xsi:type="dcterms:W3CDTF">2025-12-15T12:17:26Z</dcterms:modified>
</cp:coreProperties>
</file>